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537C6" w14:textId="4FD430D9" w:rsidR="00B24A38" w:rsidRDefault="00A528D7" w:rsidP="00B24A38">
      <w:pPr>
        <w:pStyle w:val="Title"/>
        <w:rPr>
          <w:rFonts w:asciiTheme="minorHAnsi" w:hAnsiTheme="minorHAnsi" w:cstheme="minorHAnsi"/>
        </w:rPr>
      </w:pPr>
      <w:r w:rsidRPr="00A528D7">
        <w:rPr>
          <w:rFonts w:asciiTheme="minorHAnsi" w:hAnsiTheme="minorHAnsi" w:cstheme="minorHAnsi"/>
        </w:rPr>
        <w:t>Guideline on coordinated use of satellite VDES frequencies, Logical Channels and spreading code among satellite VDES operators</w:t>
      </w:r>
    </w:p>
    <w:p w14:paraId="216FF311" w14:textId="77777777" w:rsidR="00262DC8" w:rsidRDefault="00262DC8" w:rsidP="00262DC8"/>
    <w:p w14:paraId="48C62D99" w14:textId="4471B2BA" w:rsidR="00262DC8" w:rsidRDefault="00606D81" w:rsidP="00262DC8">
      <w:r>
        <w:t>Approved</w:t>
      </w:r>
      <w:r w:rsidR="000B1200">
        <w:t xml:space="preserve"> by</w:t>
      </w:r>
      <w:r w:rsidR="00553CF4">
        <w:t xml:space="preserve"> </w:t>
      </w:r>
      <w:r w:rsidR="00B438DB">
        <w:t>the</w:t>
      </w:r>
      <w:r w:rsidR="005320F5">
        <w:t xml:space="preserve"> </w:t>
      </w:r>
      <w:r w:rsidR="00414279">
        <w:t>6</w:t>
      </w:r>
      <w:r w:rsidR="005320F5" w:rsidRPr="005320F5">
        <w:rPr>
          <w:vertAlign w:val="superscript"/>
        </w:rPr>
        <w:t>th</w:t>
      </w:r>
      <w:r w:rsidR="005320F5">
        <w:t xml:space="preserve"> meeting of Working Group 1 on </w:t>
      </w:r>
      <w:r w:rsidR="00414279">
        <w:t>19</w:t>
      </w:r>
      <w:r w:rsidR="005320F5">
        <w:t>.</w:t>
      </w:r>
      <w:r w:rsidR="00414279">
        <w:t>03</w:t>
      </w:r>
      <w:r w:rsidR="005320F5">
        <w:t>.202</w:t>
      </w:r>
      <w:r w:rsidR="00414279">
        <w:t>5</w:t>
      </w:r>
      <w:r w:rsidR="00B42F42">
        <w:t xml:space="preserve"> and by the VDES Alliance </w:t>
      </w:r>
      <w:r w:rsidR="00192949">
        <w:t xml:space="preserve">Board on </w:t>
      </w:r>
      <w:r w:rsidR="007D0BB4">
        <w:t>05.05.2025.</w:t>
      </w:r>
    </w:p>
    <w:p w14:paraId="4C842063" w14:textId="77777777" w:rsidR="00262DC8" w:rsidRPr="00262DC8" w:rsidRDefault="00262DC8" w:rsidP="00262DC8"/>
    <w:p w14:paraId="39C979E0" w14:textId="6A0909FA" w:rsidR="00B24A38" w:rsidRPr="00171DC3" w:rsidRDefault="00B6208F" w:rsidP="00B24A38">
      <w:pPr>
        <w:pStyle w:val="Heading1"/>
        <w:rPr>
          <w:rFonts w:asciiTheme="minorHAnsi" w:hAnsiTheme="minorHAnsi" w:cstheme="minorHAnsi"/>
        </w:rPr>
      </w:pPr>
      <w:r>
        <w:rPr>
          <w:rFonts w:asciiTheme="minorHAnsi" w:hAnsiTheme="minorHAnsi" w:cstheme="minorHAnsi"/>
        </w:rPr>
        <w:t>Introduction</w:t>
      </w:r>
    </w:p>
    <w:p w14:paraId="01DA8559" w14:textId="2DAEA44F" w:rsidR="009E7B5D" w:rsidRPr="009E7B5D" w:rsidRDefault="009E7B5D" w:rsidP="009E7B5D">
      <w:pPr>
        <w:rPr>
          <w:rFonts w:asciiTheme="minorHAnsi" w:hAnsiTheme="minorHAnsi" w:cstheme="minorHAnsi"/>
        </w:rPr>
      </w:pPr>
      <w:r w:rsidRPr="009E7B5D">
        <w:rPr>
          <w:rFonts w:asciiTheme="minorHAnsi" w:hAnsiTheme="minorHAnsi" w:cstheme="minorHAnsi"/>
        </w:rPr>
        <w:t>The VDES</w:t>
      </w:r>
      <w:r w:rsidR="00030453">
        <w:rPr>
          <w:rFonts w:asciiTheme="minorHAnsi" w:hAnsiTheme="minorHAnsi" w:cstheme="minorHAnsi"/>
        </w:rPr>
        <w:t xml:space="preserve"> </w:t>
      </w:r>
      <w:r w:rsidRPr="009E7B5D">
        <w:rPr>
          <w:rFonts w:asciiTheme="minorHAnsi" w:hAnsiTheme="minorHAnsi" w:cstheme="minorHAnsi"/>
        </w:rPr>
        <w:t xml:space="preserve">Alliance strives to be a global association consisting of maritime authorities, </w:t>
      </w:r>
      <w:r w:rsidR="002F4B93" w:rsidRPr="009E7B5D">
        <w:rPr>
          <w:rFonts w:asciiTheme="minorHAnsi" w:hAnsiTheme="minorHAnsi" w:cstheme="minorHAnsi"/>
        </w:rPr>
        <w:t>organizations,</w:t>
      </w:r>
      <w:r w:rsidRPr="009E7B5D">
        <w:rPr>
          <w:rFonts w:asciiTheme="minorHAnsi" w:hAnsiTheme="minorHAnsi" w:cstheme="minorHAnsi"/>
        </w:rPr>
        <w:t xml:space="preserve"> and industry members, who cooperate in testing and promoting the use of VHF Data Exchange (VDES) technologies.</w:t>
      </w:r>
    </w:p>
    <w:p w14:paraId="373A466E" w14:textId="77777777" w:rsidR="009E7B5D" w:rsidRPr="009E7B5D" w:rsidRDefault="009E7B5D" w:rsidP="009E7B5D">
      <w:pPr>
        <w:rPr>
          <w:rFonts w:asciiTheme="minorHAnsi" w:hAnsiTheme="minorHAnsi" w:cstheme="minorHAnsi"/>
        </w:rPr>
      </w:pPr>
      <w:r w:rsidRPr="009E7B5D">
        <w:rPr>
          <w:rFonts w:asciiTheme="minorHAnsi" w:hAnsiTheme="minorHAnsi" w:cstheme="minorHAnsi"/>
        </w:rPr>
        <w:t>VDES is a much faster AIS with terrestrial VDE and global coverage with satellite VDE. The VDES Alliance drives global VDES integration and testing efforts to enable services facilitated by VDES to be used by as many stakeholders as possible as soon as possible.</w:t>
      </w:r>
    </w:p>
    <w:p w14:paraId="01556324" w14:textId="066937BA" w:rsidR="00B24A38" w:rsidRPr="00171DC3" w:rsidRDefault="00386692" w:rsidP="009E7B5D">
      <w:pPr>
        <w:rPr>
          <w:rFonts w:asciiTheme="minorHAnsi" w:hAnsiTheme="minorHAnsi" w:cstheme="minorHAnsi"/>
        </w:rPr>
      </w:pPr>
      <w:r w:rsidRPr="009E7B5D">
        <w:rPr>
          <w:rFonts w:asciiTheme="minorHAnsi" w:hAnsiTheme="minorHAnsi" w:cstheme="minorHAnsi"/>
        </w:rPr>
        <w:t>To</w:t>
      </w:r>
      <w:r w:rsidR="009E7B5D" w:rsidRPr="009E7B5D">
        <w:rPr>
          <w:rFonts w:asciiTheme="minorHAnsi" w:hAnsiTheme="minorHAnsi" w:cstheme="minorHAnsi"/>
        </w:rPr>
        <w:t xml:space="preserve"> help VDES adoption </w:t>
      </w:r>
      <w:r w:rsidR="00030453">
        <w:rPr>
          <w:rFonts w:asciiTheme="minorHAnsi" w:hAnsiTheme="minorHAnsi" w:cstheme="minorHAnsi"/>
        </w:rPr>
        <w:t>by</w:t>
      </w:r>
      <w:r w:rsidR="009E7B5D" w:rsidRPr="009E7B5D">
        <w:rPr>
          <w:rFonts w:asciiTheme="minorHAnsi" w:hAnsiTheme="minorHAnsi" w:cstheme="minorHAnsi"/>
        </w:rPr>
        <w:t xml:space="preserve"> the maritime </w:t>
      </w:r>
      <w:r w:rsidR="00030453">
        <w:rPr>
          <w:rFonts w:asciiTheme="minorHAnsi" w:hAnsiTheme="minorHAnsi" w:cstheme="minorHAnsi"/>
        </w:rPr>
        <w:t>community</w:t>
      </w:r>
      <w:r w:rsidR="009E7B5D" w:rsidRPr="009E7B5D">
        <w:rPr>
          <w:rFonts w:asciiTheme="minorHAnsi" w:hAnsiTheme="minorHAnsi" w:cstheme="minorHAnsi"/>
        </w:rPr>
        <w:t>, the VDES alliance members also cooperate on marketing of the VDES technology</w:t>
      </w:r>
      <w:r w:rsidR="007D2E97">
        <w:rPr>
          <w:rFonts w:asciiTheme="minorHAnsi" w:hAnsiTheme="minorHAnsi" w:cstheme="minorHAnsi"/>
        </w:rPr>
        <w:t xml:space="preserve"> and </w:t>
      </w:r>
      <w:r w:rsidR="00EC35E2">
        <w:rPr>
          <w:rFonts w:asciiTheme="minorHAnsi" w:hAnsiTheme="minorHAnsi" w:cstheme="minorHAnsi"/>
        </w:rPr>
        <w:t>strive</w:t>
      </w:r>
      <w:r w:rsidR="007D2E97">
        <w:rPr>
          <w:rFonts w:asciiTheme="minorHAnsi" w:hAnsiTheme="minorHAnsi" w:cstheme="minorHAnsi"/>
        </w:rPr>
        <w:t xml:space="preserve"> to </w:t>
      </w:r>
      <w:r w:rsidR="00243C1B">
        <w:rPr>
          <w:rFonts w:asciiTheme="minorHAnsi" w:hAnsiTheme="minorHAnsi" w:cstheme="minorHAnsi"/>
        </w:rPr>
        <w:t xml:space="preserve">develop </w:t>
      </w:r>
      <w:r w:rsidR="00E51B92">
        <w:rPr>
          <w:rFonts w:asciiTheme="minorHAnsi" w:hAnsiTheme="minorHAnsi" w:cstheme="minorHAnsi"/>
        </w:rPr>
        <w:t xml:space="preserve">methods for efficient use of the </w:t>
      </w:r>
      <w:r w:rsidR="00197A52">
        <w:rPr>
          <w:rFonts w:asciiTheme="minorHAnsi" w:hAnsiTheme="minorHAnsi" w:cstheme="minorHAnsi"/>
        </w:rPr>
        <w:t>VDES technology</w:t>
      </w:r>
      <w:r w:rsidR="009E7B5D" w:rsidRPr="009E7B5D">
        <w:rPr>
          <w:rFonts w:asciiTheme="minorHAnsi" w:hAnsiTheme="minorHAnsi" w:cstheme="minorHAnsi"/>
        </w:rPr>
        <w:t>.</w:t>
      </w:r>
      <w:r w:rsidR="00CF1965">
        <w:rPr>
          <w:rFonts w:asciiTheme="minorHAnsi" w:hAnsiTheme="minorHAnsi" w:cstheme="minorHAnsi"/>
        </w:rPr>
        <w:t xml:space="preserve"> This </w:t>
      </w:r>
      <w:r w:rsidR="000F643F">
        <w:rPr>
          <w:rFonts w:asciiTheme="minorHAnsi" w:hAnsiTheme="minorHAnsi" w:cstheme="minorHAnsi"/>
        </w:rPr>
        <w:t>guideline</w:t>
      </w:r>
      <w:r w:rsidR="00CF1965">
        <w:rPr>
          <w:rFonts w:asciiTheme="minorHAnsi" w:hAnsiTheme="minorHAnsi" w:cstheme="minorHAnsi"/>
        </w:rPr>
        <w:t xml:space="preserve"> has been created by </w:t>
      </w:r>
      <w:r w:rsidR="00CC7E8D">
        <w:rPr>
          <w:rFonts w:asciiTheme="minorHAnsi" w:hAnsiTheme="minorHAnsi" w:cstheme="minorHAnsi"/>
        </w:rPr>
        <w:t>VDES Alliance</w:t>
      </w:r>
      <w:r w:rsidR="00C66529">
        <w:rPr>
          <w:rFonts w:asciiTheme="minorHAnsi" w:hAnsiTheme="minorHAnsi" w:cstheme="minorHAnsi"/>
        </w:rPr>
        <w:t xml:space="preserve"> contributing members.</w:t>
      </w:r>
    </w:p>
    <w:p w14:paraId="43C90A9C" w14:textId="2E1F583D" w:rsidR="00B24A38" w:rsidRDefault="00B24A38" w:rsidP="00B24A38">
      <w:pPr>
        <w:pStyle w:val="Heading2"/>
        <w:rPr>
          <w:rFonts w:asciiTheme="minorHAnsi" w:hAnsiTheme="minorHAnsi" w:cstheme="minorHAnsi"/>
        </w:rPr>
      </w:pPr>
      <w:r w:rsidRPr="00171DC3">
        <w:rPr>
          <w:rFonts w:asciiTheme="minorHAnsi" w:hAnsiTheme="minorHAnsi" w:cstheme="minorHAnsi"/>
        </w:rPr>
        <w:t>Scope</w:t>
      </w:r>
      <w:r w:rsidR="006F245D">
        <w:rPr>
          <w:rFonts w:asciiTheme="minorHAnsi" w:hAnsiTheme="minorHAnsi" w:cstheme="minorHAnsi"/>
        </w:rPr>
        <w:t xml:space="preserve"> of </w:t>
      </w:r>
      <w:r w:rsidR="00740C62">
        <w:rPr>
          <w:rFonts w:asciiTheme="minorHAnsi" w:hAnsiTheme="minorHAnsi" w:cstheme="minorHAnsi"/>
        </w:rPr>
        <w:t xml:space="preserve">this </w:t>
      </w:r>
      <w:r w:rsidR="006F245D">
        <w:rPr>
          <w:rFonts w:asciiTheme="minorHAnsi" w:hAnsiTheme="minorHAnsi" w:cstheme="minorHAnsi"/>
        </w:rPr>
        <w:t>document</w:t>
      </w:r>
    </w:p>
    <w:p w14:paraId="6ACE341E" w14:textId="0559431D" w:rsidR="00583175" w:rsidRDefault="00161EB7" w:rsidP="00583175">
      <w:r>
        <w:t xml:space="preserve">This document provides </w:t>
      </w:r>
      <w:r w:rsidR="008E52AB">
        <w:t>guidelines</w:t>
      </w:r>
      <w:r>
        <w:t xml:space="preserve"> for </w:t>
      </w:r>
      <w:r w:rsidR="00795F56" w:rsidRPr="00A528D7">
        <w:rPr>
          <w:rFonts w:asciiTheme="minorHAnsi" w:hAnsiTheme="minorHAnsi" w:cstheme="minorHAnsi"/>
        </w:rPr>
        <w:t>coordinated use of satellite VDES frequencies, Logical Channels and spreading code among satellite VDES operators</w:t>
      </w:r>
      <w:r w:rsidR="00420CE0">
        <w:t>.</w:t>
      </w:r>
      <w:r w:rsidR="00D21BAA">
        <w:t xml:space="preserve"> Whereas VDES Alliance Guideline G-1001 </w:t>
      </w:r>
      <w:r w:rsidR="00656EEF">
        <w:t xml:space="preserve">provide information on how </w:t>
      </w:r>
      <w:r w:rsidR="00D82DE1">
        <w:t xml:space="preserve">satellite VDES operators should coordinate their </w:t>
      </w:r>
      <w:r w:rsidR="001719B6">
        <w:t>use of satellite details, such as satellite ID, network ID</w:t>
      </w:r>
      <w:r w:rsidR="00EF4E00">
        <w:t xml:space="preserve">, </w:t>
      </w:r>
      <w:r w:rsidR="001719B6">
        <w:t xml:space="preserve">roaming ID </w:t>
      </w:r>
      <w:proofErr w:type="spellStart"/>
      <w:r w:rsidR="001719B6">
        <w:t>etc</w:t>
      </w:r>
      <w:proofErr w:type="spellEnd"/>
      <w:r w:rsidR="009D578E">
        <w:t xml:space="preserve">, </w:t>
      </w:r>
      <w:r w:rsidR="00FE2EFC">
        <w:t xml:space="preserve">which allow clear distinction between </w:t>
      </w:r>
      <w:r w:rsidR="00C23367">
        <w:t xml:space="preserve">VDES satellites and their operators, </w:t>
      </w:r>
      <w:r w:rsidR="00A33D5D">
        <w:t xml:space="preserve">this guideline provide information on </w:t>
      </w:r>
      <w:r w:rsidR="009D3366">
        <w:t xml:space="preserve">how satellite VDES operators should coordinate </w:t>
      </w:r>
      <w:r w:rsidR="005A775C">
        <w:t xml:space="preserve">use of the available frequency resources to avoid interference </w:t>
      </w:r>
      <w:r w:rsidR="002577E0">
        <w:t xml:space="preserve">on the transmission link </w:t>
      </w:r>
      <w:r w:rsidR="005A775C">
        <w:t>between VDES sate</w:t>
      </w:r>
      <w:r w:rsidR="003B504F">
        <w:t>llites</w:t>
      </w:r>
      <w:r w:rsidR="002577E0">
        <w:t>.</w:t>
      </w:r>
    </w:p>
    <w:p w14:paraId="12A8D4CC" w14:textId="77777777" w:rsidR="00B24A38" w:rsidRPr="001B0CDC" w:rsidRDefault="00B24A38" w:rsidP="00B24A38">
      <w:pPr>
        <w:pStyle w:val="Heading2"/>
        <w:rPr>
          <w:rFonts w:asciiTheme="minorHAnsi" w:hAnsiTheme="minorHAnsi" w:cstheme="minorHAnsi"/>
        </w:rPr>
      </w:pPr>
      <w:r w:rsidRPr="001B0CDC">
        <w:rPr>
          <w:rFonts w:asciiTheme="minorHAnsi" w:hAnsiTheme="minorHAnsi" w:cstheme="minorHAnsi"/>
        </w:rPr>
        <w:t>Revision Information</w:t>
      </w:r>
    </w:p>
    <w:tbl>
      <w:tblPr>
        <w:tblStyle w:val="TableGrid"/>
        <w:tblW w:w="5000" w:type="pct"/>
        <w:tblLook w:val="04A0" w:firstRow="1" w:lastRow="0" w:firstColumn="1" w:lastColumn="0" w:noHBand="0" w:noVBand="1"/>
      </w:tblPr>
      <w:tblGrid>
        <w:gridCol w:w="1225"/>
        <w:gridCol w:w="834"/>
        <w:gridCol w:w="2898"/>
        <w:gridCol w:w="4671"/>
      </w:tblGrid>
      <w:tr w:rsidR="00B24A38" w:rsidRPr="001B0CDC" w14:paraId="0CEC8445" w14:textId="77777777" w:rsidTr="00F619DE">
        <w:tc>
          <w:tcPr>
            <w:tcW w:w="1225" w:type="dxa"/>
            <w:shd w:val="clear" w:color="auto" w:fill="F2F2F2" w:themeFill="background1" w:themeFillShade="F2"/>
          </w:tcPr>
          <w:p w14:paraId="71F8580B" w14:textId="77777777" w:rsidR="00B24A38" w:rsidRPr="001B0CDC" w:rsidRDefault="00B24A38" w:rsidP="00F619DE">
            <w:pPr>
              <w:jc w:val="center"/>
              <w:rPr>
                <w:rFonts w:asciiTheme="minorHAnsi" w:hAnsiTheme="minorHAnsi" w:cstheme="minorHAnsi"/>
              </w:rPr>
            </w:pPr>
            <w:r w:rsidRPr="001B0CDC">
              <w:rPr>
                <w:rFonts w:asciiTheme="minorHAnsi" w:hAnsiTheme="minorHAnsi" w:cstheme="minorHAnsi"/>
              </w:rPr>
              <w:t>Date</w:t>
            </w:r>
          </w:p>
        </w:tc>
        <w:tc>
          <w:tcPr>
            <w:tcW w:w="834" w:type="dxa"/>
            <w:shd w:val="clear" w:color="auto" w:fill="F2F2F2" w:themeFill="background1" w:themeFillShade="F2"/>
          </w:tcPr>
          <w:p w14:paraId="5F569834" w14:textId="77777777" w:rsidR="00B24A38" w:rsidRPr="001B0CDC" w:rsidRDefault="00B24A38" w:rsidP="00F619DE">
            <w:pPr>
              <w:jc w:val="center"/>
              <w:rPr>
                <w:rFonts w:asciiTheme="minorHAnsi" w:hAnsiTheme="minorHAnsi" w:cstheme="minorHAnsi"/>
              </w:rPr>
            </w:pPr>
            <w:r w:rsidRPr="001B0CDC">
              <w:rPr>
                <w:rFonts w:asciiTheme="minorHAnsi" w:hAnsiTheme="minorHAnsi" w:cstheme="minorHAnsi"/>
              </w:rPr>
              <w:t>Version</w:t>
            </w:r>
          </w:p>
        </w:tc>
        <w:tc>
          <w:tcPr>
            <w:tcW w:w="2898" w:type="dxa"/>
            <w:shd w:val="clear" w:color="auto" w:fill="F2F2F2" w:themeFill="background1" w:themeFillShade="F2"/>
          </w:tcPr>
          <w:p w14:paraId="1819E69F" w14:textId="26674D52" w:rsidR="00B24A38" w:rsidRPr="001B0CDC" w:rsidRDefault="000F79BC" w:rsidP="00DC03DC">
            <w:pPr>
              <w:rPr>
                <w:rFonts w:asciiTheme="minorHAnsi" w:hAnsiTheme="minorHAnsi" w:cstheme="minorHAnsi"/>
              </w:rPr>
            </w:pPr>
            <w:r w:rsidRPr="001B0CDC">
              <w:rPr>
                <w:rFonts w:asciiTheme="minorHAnsi" w:hAnsiTheme="minorHAnsi" w:cstheme="minorHAnsi"/>
              </w:rPr>
              <w:t>Considered</w:t>
            </w:r>
            <w:r w:rsidR="003669C3" w:rsidRPr="001B0CDC">
              <w:rPr>
                <w:rFonts w:asciiTheme="minorHAnsi" w:hAnsiTheme="minorHAnsi" w:cstheme="minorHAnsi"/>
              </w:rPr>
              <w:t xml:space="preserve"> by</w:t>
            </w:r>
          </w:p>
        </w:tc>
        <w:tc>
          <w:tcPr>
            <w:tcW w:w="4671" w:type="dxa"/>
            <w:shd w:val="clear" w:color="auto" w:fill="F2F2F2" w:themeFill="background1" w:themeFillShade="F2"/>
          </w:tcPr>
          <w:p w14:paraId="34B13289" w14:textId="340F4D12" w:rsidR="00B24A38" w:rsidRPr="001B0CDC" w:rsidRDefault="00A37763" w:rsidP="00DC03DC">
            <w:pPr>
              <w:rPr>
                <w:rFonts w:asciiTheme="minorHAnsi" w:hAnsiTheme="minorHAnsi" w:cstheme="minorHAnsi"/>
              </w:rPr>
            </w:pPr>
            <w:r w:rsidRPr="001B0CDC">
              <w:rPr>
                <w:rFonts w:asciiTheme="minorHAnsi" w:hAnsiTheme="minorHAnsi" w:cstheme="minorHAnsi"/>
              </w:rPr>
              <w:t>Comment</w:t>
            </w:r>
          </w:p>
        </w:tc>
      </w:tr>
      <w:tr w:rsidR="002277CD" w:rsidRPr="001B0CDC" w14:paraId="22F54793" w14:textId="77777777" w:rsidTr="00F619DE">
        <w:tc>
          <w:tcPr>
            <w:tcW w:w="1225" w:type="dxa"/>
          </w:tcPr>
          <w:p w14:paraId="5DF1BBD8" w14:textId="605DFD86" w:rsidR="002277CD" w:rsidRPr="001B0CDC" w:rsidRDefault="002277CD" w:rsidP="002277CD">
            <w:pPr>
              <w:jc w:val="center"/>
              <w:rPr>
                <w:rFonts w:asciiTheme="minorHAnsi" w:hAnsiTheme="minorHAnsi" w:cstheme="minorHAnsi"/>
              </w:rPr>
            </w:pPr>
            <w:r w:rsidRPr="001B0CDC">
              <w:rPr>
                <w:rFonts w:asciiTheme="minorHAnsi" w:hAnsiTheme="minorHAnsi" w:cstheme="minorHAnsi"/>
              </w:rPr>
              <w:t>202</w:t>
            </w:r>
            <w:r w:rsidR="00A60B62" w:rsidRPr="001B0CDC">
              <w:rPr>
                <w:rFonts w:asciiTheme="minorHAnsi" w:hAnsiTheme="minorHAnsi" w:cstheme="minorHAnsi"/>
              </w:rPr>
              <w:t>5</w:t>
            </w:r>
            <w:r w:rsidRPr="001B0CDC">
              <w:rPr>
                <w:rFonts w:asciiTheme="minorHAnsi" w:hAnsiTheme="minorHAnsi" w:cstheme="minorHAnsi"/>
              </w:rPr>
              <w:t>-</w:t>
            </w:r>
            <w:r w:rsidR="00A60B62" w:rsidRPr="001B0CDC">
              <w:rPr>
                <w:rFonts w:asciiTheme="minorHAnsi" w:hAnsiTheme="minorHAnsi" w:cstheme="minorHAnsi"/>
              </w:rPr>
              <w:t>03</w:t>
            </w:r>
            <w:r w:rsidRPr="001B0CDC">
              <w:rPr>
                <w:rFonts w:asciiTheme="minorHAnsi" w:hAnsiTheme="minorHAnsi" w:cstheme="minorHAnsi"/>
              </w:rPr>
              <w:t>-</w:t>
            </w:r>
            <w:r w:rsidR="00A60B62" w:rsidRPr="001B0CDC">
              <w:rPr>
                <w:rFonts w:asciiTheme="minorHAnsi" w:hAnsiTheme="minorHAnsi" w:cstheme="minorHAnsi"/>
              </w:rPr>
              <w:t>19</w:t>
            </w:r>
          </w:p>
        </w:tc>
        <w:tc>
          <w:tcPr>
            <w:tcW w:w="834" w:type="dxa"/>
          </w:tcPr>
          <w:p w14:paraId="1DC032ED" w14:textId="53955252" w:rsidR="002277CD" w:rsidRPr="001B0CDC" w:rsidRDefault="00606D81" w:rsidP="002277CD">
            <w:pPr>
              <w:jc w:val="center"/>
              <w:rPr>
                <w:rFonts w:asciiTheme="minorHAnsi" w:hAnsiTheme="minorHAnsi" w:cstheme="minorHAnsi"/>
              </w:rPr>
            </w:pPr>
            <w:r w:rsidRPr="001B0CDC">
              <w:rPr>
                <w:rFonts w:asciiTheme="minorHAnsi" w:hAnsiTheme="minorHAnsi" w:cstheme="minorHAnsi"/>
              </w:rPr>
              <w:t>1</w:t>
            </w:r>
          </w:p>
        </w:tc>
        <w:tc>
          <w:tcPr>
            <w:tcW w:w="2898" w:type="dxa"/>
          </w:tcPr>
          <w:p w14:paraId="716E5F53" w14:textId="3DB78D72" w:rsidR="002277CD" w:rsidRPr="001B0CDC" w:rsidRDefault="002277CD" w:rsidP="002277CD">
            <w:pPr>
              <w:rPr>
                <w:rFonts w:asciiTheme="minorHAnsi" w:hAnsiTheme="minorHAnsi" w:cstheme="minorHAnsi"/>
              </w:rPr>
            </w:pPr>
            <w:r w:rsidRPr="001B0CDC">
              <w:rPr>
                <w:rFonts w:asciiTheme="minorHAnsi" w:hAnsiTheme="minorHAnsi" w:cstheme="minorHAnsi"/>
              </w:rPr>
              <w:t>WG1-6 (2025-03)</w:t>
            </w:r>
          </w:p>
        </w:tc>
        <w:tc>
          <w:tcPr>
            <w:tcW w:w="4671" w:type="dxa"/>
          </w:tcPr>
          <w:p w14:paraId="324BD9F5" w14:textId="1B7F6F70" w:rsidR="002277CD" w:rsidRPr="001B0CDC" w:rsidRDefault="00BE1DDE" w:rsidP="002277CD">
            <w:pPr>
              <w:rPr>
                <w:rFonts w:asciiTheme="minorHAnsi" w:hAnsiTheme="minorHAnsi" w:cstheme="minorHAnsi"/>
              </w:rPr>
            </w:pPr>
            <w:r w:rsidRPr="001B0CDC">
              <w:rPr>
                <w:rFonts w:asciiTheme="minorHAnsi" w:hAnsiTheme="minorHAnsi" w:cstheme="minorHAnsi"/>
              </w:rPr>
              <w:t>Approved by WG1</w:t>
            </w:r>
          </w:p>
        </w:tc>
      </w:tr>
      <w:tr w:rsidR="007D0BB4" w:rsidRPr="00171DC3" w14:paraId="72A5484F" w14:textId="77777777" w:rsidTr="00F619DE">
        <w:tc>
          <w:tcPr>
            <w:tcW w:w="1225" w:type="dxa"/>
          </w:tcPr>
          <w:p w14:paraId="6256A841" w14:textId="2DE16C19" w:rsidR="007D0BB4" w:rsidRPr="001B0CDC" w:rsidRDefault="007D0BB4" w:rsidP="002277CD">
            <w:pPr>
              <w:jc w:val="center"/>
              <w:rPr>
                <w:rFonts w:asciiTheme="minorHAnsi" w:hAnsiTheme="minorHAnsi" w:cstheme="minorHAnsi"/>
              </w:rPr>
            </w:pPr>
            <w:r w:rsidRPr="001B0CDC">
              <w:rPr>
                <w:rFonts w:asciiTheme="minorHAnsi" w:hAnsiTheme="minorHAnsi" w:cstheme="minorHAnsi"/>
              </w:rPr>
              <w:t>2025-05-05</w:t>
            </w:r>
          </w:p>
        </w:tc>
        <w:tc>
          <w:tcPr>
            <w:tcW w:w="834" w:type="dxa"/>
          </w:tcPr>
          <w:p w14:paraId="3181B0FD" w14:textId="73361095" w:rsidR="007D0BB4" w:rsidRPr="001B0CDC" w:rsidRDefault="001B0CDC" w:rsidP="002277CD">
            <w:pPr>
              <w:jc w:val="center"/>
              <w:rPr>
                <w:rFonts w:asciiTheme="minorHAnsi" w:hAnsiTheme="minorHAnsi" w:cstheme="minorHAnsi"/>
              </w:rPr>
            </w:pPr>
            <w:r w:rsidRPr="001B0CDC">
              <w:rPr>
                <w:rFonts w:asciiTheme="minorHAnsi" w:hAnsiTheme="minorHAnsi" w:cstheme="minorHAnsi"/>
              </w:rPr>
              <w:t>1</w:t>
            </w:r>
          </w:p>
        </w:tc>
        <w:tc>
          <w:tcPr>
            <w:tcW w:w="2898" w:type="dxa"/>
          </w:tcPr>
          <w:p w14:paraId="576F988D" w14:textId="01AD5519" w:rsidR="007D0BB4" w:rsidRPr="001B0CDC" w:rsidRDefault="001B0CDC" w:rsidP="002277CD">
            <w:pPr>
              <w:rPr>
                <w:rFonts w:asciiTheme="minorHAnsi" w:hAnsiTheme="minorHAnsi" w:cstheme="minorHAnsi"/>
              </w:rPr>
            </w:pPr>
            <w:r w:rsidRPr="001B0CDC">
              <w:rPr>
                <w:rFonts w:asciiTheme="minorHAnsi" w:hAnsiTheme="minorHAnsi" w:cstheme="minorHAnsi"/>
              </w:rPr>
              <w:t>VDES Alliance Board</w:t>
            </w:r>
          </w:p>
        </w:tc>
        <w:tc>
          <w:tcPr>
            <w:tcW w:w="4671" w:type="dxa"/>
          </w:tcPr>
          <w:p w14:paraId="6F3C2D5D" w14:textId="7A10BA4E" w:rsidR="007D0BB4" w:rsidRPr="001B0CDC" w:rsidRDefault="001B0CDC" w:rsidP="002277CD">
            <w:pPr>
              <w:rPr>
                <w:rFonts w:asciiTheme="minorHAnsi" w:hAnsiTheme="minorHAnsi" w:cstheme="minorHAnsi"/>
              </w:rPr>
            </w:pPr>
            <w:r w:rsidRPr="001B0CDC">
              <w:rPr>
                <w:rFonts w:asciiTheme="minorHAnsi" w:hAnsiTheme="minorHAnsi" w:cstheme="minorHAnsi"/>
              </w:rPr>
              <w:t>Approved by the Board</w:t>
            </w:r>
          </w:p>
        </w:tc>
      </w:tr>
    </w:tbl>
    <w:p w14:paraId="6421A448" w14:textId="77777777" w:rsidR="00B24A38" w:rsidRPr="00171DC3" w:rsidRDefault="00B24A38" w:rsidP="00B24A38">
      <w:pPr>
        <w:rPr>
          <w:rFonts w:asciiTheme="minorHAnsi" w:hAnsiTheme="minorHAnsi" w:cstheme="minorHAnsi"/>
        </w:rPr>
      </w:pPr>
    </w:p>
    <w:p w14:paraId="46285B6B" w14:textId="0510F122" w:rsidR="00525693" w:rsidRDefault="00B24A38" w:rsidP="00525693">
      <w:pPr>
        <w:pStyle w:val="Heading2"/>
        <w:rPr>
          <w:rFonts w:asciiTheme="minorHAnsi" w:hAnsiTheme="minorHAnsi" w:cstheme="minorHAnsi"/>
        </w:rPr>
      </w:pPr>
      <w:r w:rsidRPr="00171DC3">
        <w:rPr>
          <w:rFonts w:asciiTheme="minorHAnsi" w:hAnsiTheme="minorHAnsi" w:cstheme="minorHAnsi"/>
        </w:rPr>
        <w:t>References</w:t>
      </w:r>
    </w:p>
    <w:p w14:paraId="2BB1907D" w14:textId="5B49B11C" w:rsidR="005C4ACF" w:rsidRDefault="00FB7BC5" w:rsidP="005415F1">
      <w:pPr>
        <w:pStyle w:val="ListParagraph"/>
        <w:numPr>
          <w:ilvl w:val="0"/>
          <w:numId w:val="8"/>
        </w:numPr>
      </w:pPr>
      <w:bookmarkStart w:id="0" w:name="_Ref138770505"/>
      <w:r>
        <w:t xml:space="preserve">Recommendation ITU-R M.2092-1: Technical </w:t>
      </w:r>
      <w:r w:rsidR="009573D2">
        <w:t>characteristics for a VHF data exchange system in the VHF maritime mobile band</w:t>
      </w:r>
      <w:bookmarkEnd w:id="0"/>
    </w:p>
    <w:p w14:paraId="655BEF7D" w14:textId="186E2F3B" w:rsidR="008E7793" w:rsidRDefault="008C519E" w:rsidP="005415F1">
      <w:pPr>
        <w:pStyle w:val="ListParagraph"/>
        <w:numPr>
          <w:ilvl w:val="0"/>
          <w:numId w:val="8"/>
        </w:numPr>
      </w:pPr>
      <w:r>
        <w:t>VDES Alliance Guideline G-1001</w:t>
      </w:r>
      <w:r w:rsidR="006504F3">
        <w:t xml:space="preserve">: </w:t>
      </w:r>
      <w:r w:rsidR="006504F3" w:rsidRPr="006504F3">
        <w:t>Guideline on definition, assignment, and use of VDES satellite details</w:t>
      </w:r>
    </w:p>
    <w:p w14:paraId="1EAF9FF9" w14:textId="0C7D2235" w:rsidR="00663017" w:rsidRPr="005C4ACF" w:rsidRDefault="009A4F81" w:rsidP="005415F1">
      <w:pPr>
        <w:pStyle w:val="ListParagraph"/>
        <w:numPr>
          <w:ilvl w:val="0"/>
          <w:numId w:val="8"/>
        </w:numPr>
      </w:pPr>
      <w:r>
        <w:t>ITU Radio Regulation</w:t>
      </w:r>
      <w:r w:rsidR="00611FB1">
        <w:t>s</w:t>
      </w:r>
    </w:p>
    <w:p w14:paraId="1548027F" w14:textId="3C82A3B9" w:rsidR="00DB5234" w:rsidRPr="00171DC3" w:rsidRDefault="00C24CB1" w:rsidP="00171DC3">
      <w:pPr>
        <w:pStyle w:val="Heading1"/>
        <w:rPr>
          <w:rFonts w:asciiTheme="minorHAnsi" w:hAnsiTheme="minorHAnsi" w:cstheme="minorHAnsi"/>
        </w:rPr>
      </w:pPr>
      <w:r w:rsidRPr="00171DC3">
        <w:rPr>
          <w:rFonts w:asciiTheme="minorHAnsi" w:hAnsiTheme="minorHAnsi" w:cstheme="minorHAnsi"/>
        </w:rPr>
        <w:t xml:space="preserve"> </w:t>
      </w:r>
      <w:bookmarkStart w:id="1" w:name="_Ref138368540"/>
      <w:r w:rsidR="00F10ED3">
        <w:rPr>
          <w:rFonts w:asciiTheme="minorHAnsi" w:hAnsiTheme="minorHAnsi" w:cstheme="minorHAnsi"/>
        </w:rPr>
        <w:t xml:space="preserve">Definition of </w:t>
      </w:r>
      <w:bookmarkEnd w:id="1"/>
      <w:r w:rsidR="00536D5F">
        <w:rPr>
          <w:rFonts w:asciiTheme="minorHAnsi" w:hAnsiTheme="minorHAnsi" w:cstheme="minorHAnsi"/>
        </w:rPr>
        <w:t>key terms</w:t>
      </w:r>
    </w:p>
    <w:p w14:paraId="6D24C210" w14:textId="7B1B2C9B" w:rsidR="00284CBA" w:rsidRPr="00171DC3" w:rsidRDefault="00237DDA" w:rsidP="003A4DA5">
      <w:pPr>
        <w:rPr>
          <w:rFonts w:asciiTheme="minorHAnsi" w:hAnsiTheme="minorHAnsi" w:cstheme="minorHAnsi"/>
        </w:rPr>
      </w:pPr>
      <w:r>
        <w:rPr>
          <w:rFonts w:asciiTheme="minorHAnsi" w:hAnsiTheme="minorHAnsi" w:cstheme="minorHAnsi"/>
        </w:rPr>
        <w:t xml:space="preserve">This section </w:t>
      </w:r>
      <w:r w:rsidR="00EC7F16">
        <w:rPr>
          <w:rFonts w:asciiTheme="minorHAnsi" w:hAnsiTheme="minorHAnsi" w:cstheme="minorHAnsi"/>
        </w:rPr>
        <w:t xml:space="preserve">defines the </w:t>
      </w:r>
      <w:r w:rsidR="00D66DAF">
        <w:rPr>
          <w:rFonts w:asciiTheme="minorHAnsi" w:hAnsiTheme="minorHAnsi" w:cstheme="minorHAnsi"/>
        </w:rPr>
        <w:t xml:space="preserve">key terms </w:t>
      </w:r>
      <w:r w:rsidR="00102DC2">
        <w:rPr>
          <w:rFonts w:asciiTheme="minorHAnsi" w:hAnsiTheme="minorHAnsi" w:cstheme="minorHAnsi"/>
        </w:rPr>
        <w:t>used in this Guideline</w:t>
      </w:r>
      <w:r w:rsidR="00536D5F">
        <w:rPr>
          <w:rFonts w:asciiTheme="minorHAnsi" w:hAnsiTheme="minorHAnsi" w:cstheme="minorHAnsi"/>
        </w:rPr>
        <w:t xml:space="preserve"> such a</w:t>
      </w:r>
      <w:r w:rsidR="0005661D">
        <w:rPr>
          <w:rFonts w:asciiTheme="minorHAnsi" w:hAnsiTheme="minorHAnsi" w:cstheme="minorHAnsi"/>
        </w:rPr>
        <w:t xml:space="preserve">s </w:t>
      </w:r>
      <w:r w:rsidR="0005661D" w:rsidRPr="0005661D">
        <w:rPr>
          <w:rFonts w:asciiTheme="minorHAnsi" w:hAnsiTheme="minorHAnsi" w:cstheme="minorHAnsi"/>
        </w:rPr>
        <w:t>satellite VDES frequencies, Logical Channels and spreading code</w:t>
      </w:r>
      <w:r w:rsidR="0042481C">
        <w:rPr>
          <w:rFonts w:asciiTheme="minorHAnsi" w:hAnsiTheme="minorHAnsi" w:cstheme="minorHAnsi"/>
        </w:rPr>
        <w:t>.</w:t>
      </w:r>
    </w:p>
    <w:p w14:paraId="0B2B5A49" w14:textId="7D10047B" w:rsidR="00DB5234" w:rsidRDefault="00CA0DF4" w:rsidP="00BF0E66">
      <w:pPr>
        <w:pStyle w:val="Heading2"/>
      </w:pPr>
      <w:r w:rsidRPr="00BF0E66">
        <w:t xml:space="preserve">Satellite </w:t>
      </w:r>
      <w:r w:rsidR="008866B3">
        <w:t>VDES frequencies</w:t>
      </w:r>
    </w:p>
    <w:p w14:paraId="05AF636E" w14:textId="27727344" w:rsidR="009F7721" w:rsidRDefault="00F51618" w:rsidP="00F51618">
      <w:r>
        <w:lastRenderedPageBreak/>
        <w:t xml:space="preserve">The </w:t>
      </w:r>
      <w:r w:rsidR="008866B3">
        <w:t>term satellite VDES frequencies refer</w:t>
      </w:r>
      <w:r w:rsidR="00617055">
        <w:t>s</w:t>
      </w:r>
      <w:r w:rsidR="008866B3">
        <w:t xml:space="preserve"> to the </w:t>
      </w:r>
      <w:r w:rsidR="00BD5297">
        <w:t xml:space="preserve">frequencies </w:t>
      </w:r>
      <w:r w:rsidR="00E30FD5">
        <w:t xml:space="preserve">that </w:t>
      </w:r>
      <w:r w:rsidR="009F7721">
        <w:t xml:space="preserve">in </w:t>
      </w:r>
      <w:r w:rsidR="00E30FD5">
        <w:t xml:space="preserve">the Radio Regulations </w:t>
      </w:r>
      <w:r w:rsidR="009F7721">
        <w:t xml:space="preserve">are allocated to the Maritime Mobile-Satellite Service (MMSS) </w:t>
      </w:r>
      <w:r w:rsidR="00F22CAF">
        <w:t xml:space="preserve">according to </w:t>
      </w:r>
      <w:r w:rsidR="00352DA1">
        <w:t>footnote</w:t>
      </w:r>
      <w:r w:rsidR="00D815AA" w:rsidRPr="00A10A99">
        <w:rPr>
          <w:b/>
          <w:bCs/>
        </w:rPr>
        <w:t xml:space="preserve"> </w:t>
      </w:r>
      <w:r w:rsidR="00612A0A" w:rsidRPr="00A10A99">
        <w:rPr>
          <w:b/>
          <w:bCs/>
        </w:rPr>
        <w:t>5.228AB</w:t>
      </w:r>
      <w:r w:rsidR="00612A0A">
        <w:t xml:space="preserve"> and </w:t>
      </w:r>
      <w:r w:rsidR="00612A0A" w:rsidRPr="00A10A99">
        <w:rPr>
          <w:b/>
          <w:bCs/>
        </w:rPr>
        <w:t>5.228AC</w:t>
      </w:r>
      <w:r w:rsidR="00612A0A">
        <w:t xml:space="preserve"> </w:t>
      </w:r>
      <w:r w:rsidR="00F22CAF">
        <w:t xml:space="preserve">and identified for </w:t>
      </w:r>
      <w:r w:rsidR="00516D18">
        <w:t xml:space="preserve">the satellite component of </w:t>
      </w:r>
      <w:r w:rsidR="00F22CAF">
        <w:t>VDE</w:t>
      </w:r>
      <w:r w:rsidR="0052291D">
        <w:t xml:space="preserve"> in Appendix </w:t>
      </w:r>
      <w:r w:rsidR="0052291D" w:rsidRPr="00A10A99">
        <w:rPr>
          <w:b/>
          <w:bCs/>
        </w:rPr>
        <w:t>18</w:t>
      </w:r>
      <w:r w:rsidR="0052291D">
        <w:t xml:space="preserve"> for systems operating in accordance with </w:t>
      </w:r>
      <w:r w:rsidR="00663017">
        <w:t>most recent version</w:t>
      </w:r>
      <w:r w:rsidR="0052291D">
        <w:t xml:space="preserve"> of Recommendation ITU-R M.2092</w:t>
      </w:r>
      <w:r w:rsidR="00F22CAF">
        <w:t>.</w:t>
      </w:r>
    </w:p>
    <w:p w14:paraId="21AF6143" w14:textId="714E82F9" w:rsidR="00D07516" w:rsidRDefault="003D6F9B" w:rsidP="00F51618">
      <w:r>
        <w:t xml:space="preserve">The satellite VDES frequencies </w:t>
      </w:r>
      <w:r w:rsidR="00BA5B94">
        <w:t xml:space="preserve">are the same frequencies </w:t>
      </w:r>
      <w:r w:rsidR="00516D18">
        <w:t xml:space="preserve">identified for the terrestrial component of </w:t>
      </w:r>
      <w:proofErr w:type="gramStart"/>
      <w:r w:rsidR="00516D18">
        <w:t>VDE</w:t>
      </w:r>
      <w:r w:rsidR="0080751F">
        <w:t>, and</w:t>
      </w:r>
      <w:proofErr w:type="gramEnd"/>
      <w:r w:rsidR="0080751F">
        <w:t xml:space="preserve"> are within two frequency ranges in the maritime VHF band</w:t>
      </w:r>
      <w:r w:rsidR="004160EC">
        <w:t xml:space="preserve">, </w:t>
      </w:r>
      <w:r w:rsidR="004160EC" w:rsidRPr="004160EC">
        <w:t xml:space="preserve">157.1875-157.3375 MHz and 161.7875-161.9375 </w:t>
      </w:r>
      <w:proofErr w:type="spellStart"/>
      <w:r w:rsidR="004160EC" w:rsidRPr="004160EC">
        <w:t>MHz</w:t>
      </w:r>
      <w:r w:rsidR="004160EC">
        <w:t>.</w:t>
      </w:r>
      <w:proofErr w:type="spellEnd"/>
      <w:r w:rsidR="00BA5B94">
        <w:t xml:space="preserve"> </w:t>
      </w:r>
      <w:r w:rsidR="00027AB3">
        <w:t>See the latest version of Recommendation ITU-R M.2092</w:t>
      </w:r>
      <w:r w:rsidR="00F2687D">
        <w:t xml:space="preserve"> </w:t>
      </w:r>
      <w:r w:rsidR="00027AB3">
        <w:t xml:space="preserve">for </w:t>
      </w:r>
      <w:r w:rsidR="00496009">
        <w:t xml:space="preserve">details on </w:t>
      </w:r>
      <w:r w:rsidR="009304C4">
        <w:t>the use of the satellite VDES frequencies.</w:t>
      </w:r>
    </w:p>
    <w:p w14:paraId="14CFCC3B" w14:textId="1584440E" w:rsidR="008A13D8" w:rsidRDefault="00E5247C" w:rsidP="00F51618">
      <w:r>
        <w:t xml:space="preserve">Use of satellite VDES frequencies </w:t>
      </w:r>
      <w:r w:rsidR="008A13D8">
        <w:t xml:space="preserve">may be coordinated within a VDES satellite network by the network operator and among VDES satellite network operators to avoid </w:t>
      </w:r>
      <w:r w:rsidR="00C45ECA">
        <w:t xml:space="preserve">interference </w:t>
      </w:r>
      <w:r w:rsidR="00B50C51">
        <w:t xml:space="preserve">situations among </w:t>
      </w:r>
      <w:r w:rsidR="008A13D8">
        <w:t>VDES satellites.</w:t>
      </w:r>
    </w:p>
    <w:p w14:paraId="0CD4CC99" w14:textId="6AEADFF6" w:rsidR="00CB54CF" w:rsidRDefault="0005661D" w:rsidP="00BF0E66">
      <w:pPr>
        <w:pStyle w:val="Heading2"/>
      </w:pPr>
      <w:r>
        <w:t>Logical Channels</w:t>
      </w:r>
    </w:p>
    <w:p w14:paraId="7DB77F1F" w14:textId="498AEA62" w:rsidR="00100C44" w:rsidRDefault="00D50952" w:rsidP="00D07516">
      <w:r>
        <w:t xml:space="preserve">The physical frequencies used for satellite VDES are </w:t>
      </w:r>
      <w:r w:rsidR="00EB419A">
        <w:t xml:space="preserve">divided into Logical Channels. See the latest version of Recommendation ITU-R M.2092 for details on the use of Logical Channels </w:t>
      </w:r>
      <w:r w:rsidR="00AE0B64">
        <w:t>by</w:t>
      </w:r>
      <w:r w:rsidR="00EB419A">
        <w:t xml:space="preserve"> satellite VDES </w:t>
      </w:r>
      <w:r w:rsidR="00AE0B64">
        <w:t>operators</w:t>
      </w:r>
      <w:r w:rsidR="00EB419A">
        <w:t>.</w:t>
      </w:r>
    </w:p>
    <w:p w14:paraId="1E1886F4" w14:textId="46CC5BEC" w:rsidR="00B50C51" w:rsidRDefault="00B50C51" w:rsidP="00D07516">
      <w:r>
        <w:t>Use of Logical Channels may be coordinated within a VDES satellite network by the network operator and among VDES satellite network operators to avoid interference situations among VDES satellites.</w:t>
      </w:r>
    </w:p>
    <w:p w14:paraId="62A444F7" w14:textId="5E0638CF" w:rsidR="0081793B" w:rsidRDefault="00AE0B64" w:rsidP="00BF0E66">
      <w:pPr>
        <w:pStyle w:val="Heading2"/>
      </w:pPr>
      <w:r>
        <w:t>Spreading code</w:t>
      </w:r>
    </w:p>
    <w:p w14:paraId="642288D6" w14:textId="061A92B0" w:rsidR="0046383F" w:rsidRDefault="00AD2490" w:rsidP="0046383F">
      <w:r>
        <w:t xml:space="preserve">Some of the waveforms defined for use in satellite VDES </w:t>
      </w:r>
      <w:r w:rsidR="00772BF7">
        <w:t xml:space="preserve">utilize spreading code for </w:t>
      </w:r>
      <w:r w:rsidR="0042401E">
        <w:t xml:space="preserve">increased robustness and probability of </w:t>
      </w:r>
      <w:r w:rsidR="000D4431">
        <w:t>correct signal demodulation. See the latest version of Recommendation ITU-R M.2092 for details on the use of the satellite VDES spreading codes.</w:t>
      </w:r>
    </w:p>
    <w:p w14:paraId="4AD1B52A" w14:textId="76ED0305" w:rsidR="00DE75F3" w:rsidRDefault="0065159A" w:rsidP="00DE75F3">
      <w:r>
        <w:t xml:space="preserve">Use of the spreading code may also allow </w:t>
      </w:r>
      <w:r w:rsidR="001371B5">
        <w:t xml:space="preserve">the use of the same logical channels on the same frequency </w:t>
      </w:r>
      <w:r w:rsidR="001100E0">
        <w:t xml:space="preserve">simultaneously </w:t>
      </w:r>
      <w:r w:rsidR="001371B5">
        <w:t xml:space="preserve">by </w:t>
      </w:r>
      <w:r w:rsidR="001100E0">
        <w:t xml:space="preserve">VDES </w:t>
      </w:r>
      <w:r w:rsidR="001371B5">
        <w:t>satellite</w:t>
      </w:r>
      <w:r w:rsidR="001100E0">
        <w:t>s</w:t>
      </w:r>
      <w:r w:rsidR="008C27A4">
        <w:t xml:space="preserve">, while each satellite signal still is possible to demodulate </w:t>
      </w:r>
      <w:r w:rsidR="00FA00AE">
        <w:t>by a VDES receiver.</w:t>
      </w:r>
      <w:r w:rsidR="001371B5">
        <w:t xml:space="preserve"> </w:t>
      </w:r>
      <w:r w:rsidR="00DE75F3">
        <w:t>Thus, use of spreading code may be coordinated within a VDES satellite network by the network operator and among VDES satellite network operators to avoid interference situations among VDES satellites.</w:t>
      </w:r>
    </w:p>
    <w:p w14:paraId="60CE92C1" w14:textId="4A188EDE" w:rsidR="00664628" w:rsidRDefault="00664628" w:rsidP="00664628">
      <w:pPr>
        <w:pStyle w:val="Heading2"/>
      </w:pPr>
      <w:r>
        <w:t>Service area</w:t>
      </w:r>
    </w:p>
    <w:p w14:paraId="35AF64FF" w14:textId="77777777" w:rsidR="006E79B5" w:rsidRDefault="00D23C55" w:rsidP="006E79B5">
      <w:r>
        <w:t>VDES Alliance Guideline G-1001</w:t>
      </w:r>
      <w:r w:rsidR="00D52953">
        <w:t xml:space="preserve"> defines Service area as:</w:t>
      </w:r>
    </w:p>
    <w:p w14:paraId="36CAE1A0" w14:textId="6A5E1097" w:rsidR="00B1271D" w:rsidRPr="000B1200" w:rsidRDefault="00B1271D" w:rsidP="000B1200">
      <w:pPr>
        <w:ind w:left="720"/>
        <w:rPr>
          <w:rStyle w:val="SubtleEmphasis"/>
        </w:rPr>
      </w:pPr>
      <w:r w:rsidRPr="000B1200">
        <w:rPr>
          <w:rStyle w:val="SubtleEmphasis"/>
        </w:rPr>
        <w:t>“The Service areas are areas where the VDES satellite regularly provides services and data exchange can be expected to be possible within a reasonable time.</w:t>
      </w:r>
    </w:p>
    <w:p w14:paraId="24673535" w14:textId="164329AA" w:rsidR="00B1271D" w:rsidRPr="000B1200" w:rsidRDefault="00B1271D" w:rsidP="000B1200">
      <w:pPr>
        <w:ind w:left="720"/>
        <w:rPr>
          <w:rStyle w:val="SubtleEmphasis"/>
        </w:rPr>
      </w:pPr>
      <w:r w:rsidRPr="000B1200">
        <w:rPr>
          <w:rStyle w:val="SubtleEmphasis"/>
        </w:rPr>
        <w:t xml:space="preserve">The Service areas of a VDES satellite are assigned by the VDES satellite </w:t>
      </w:r>
      <w:proofErr w:type="gramStart"/>
      <w:r w:rsidRPr="000B1200">
        <w:rPr>
          <w:rStyle w:val="SubtleEmphasis"/>
        </w:rPr>
        <w:t>operator, and</w:t>
      </w:r>
      <w:proofErr w:type="gramEnd"/>
      <w:r w:rsidRPr="000B1200">
        <w:rPr>
          <w:rStyle w:val="SubtleEmphasis"/>
        </w:rPr>
        <w:t xml:space="preserve"> should be designated using well-known names of relevant sea areas or according to the International Maritime Organization (IMO) definition of</w:t>
      </w:r>
      <w:r w:rsidR="00C32B44" w:rsidRPr="000B1200">
        <w:rPr>
          <w:rStyle w:val="SubtleEmphasis"/>
        </w:rPr>
        <w:t xml:space="preserve"> </w:t>
      </w:r>
      <w:r w:rsidRPr="000B1200">
        <w:rPr>
          <w:rStyle w:val="SubtleEmphasis"/>
        </w:rPr>
        <w:t>NAVAREAs.</w:t>
      </w:r>
    </w:p>
    <w:p w14:paraId="2E3BAA3C" w14:textId="168DF8C2" w:rsidR="00D52953" w:rsidRPr="000B1200" w:rsidRDefault="00B1271D" w:rsidP="000B1200">
      <w:pPr>
        <w:ind w:left="720"/>
        <w:rPr>
          <w:rStyle w:val="SubtleEmphasis"/>
        </w:rPr>
      </w:pPr>
      <w:r w:rsidRPr="000B1200">
        <w:rPr>
          <w:rStyle w:val="SubtleEmphasis"/>
        </w:rPr>
        <w:t>Service areas may be coordinated within a VDES satellite network by the network operator and among VDES satellite</w:t>
      </w:r>
      <w:r w:rsidR="00C32B44">
        <w:rPr>
          <w:rStyle w:val="SubtleEmphasis"/>
        </w:rPr>
        <w:t xml:space="preserve"> </w:t>
      </w:r>
      <w:r w:rsidRPr="000B1200">
        <w:rPr>
          <w:rStyle w:val="SubtleEmphasis"/>
        </w:rPr>
        <w:t>network operators to manage coverage and facilitate network sharing between VDES satellites and network operators.</w:t>
      </w:r>
      <w:r w:rsidR="00C32B44" w:rsidRPr="000B1200">
        <w:rPr>
          <w:rStyle w:val="SubtleEmphasis"/>
        </w:rPr>
        <w:t>”</w:t>
      </w:r>
    </w:p>
    <w:p w14:paraId="67CA6A99" w14:textId="7B11A693" w:rsidR="00525693" w:rsidRDefault="006D411F" w:rsidP="009E0A82">
      <w:pPr>
        <w:pStyle w:val="Heading1"/>
      </w:pPr>
      <w:r>
        <w:t xml:space="preserve">Coordination among </w:t>
      </w:r>
      <w:r w:rsidR="00F33B0D">
        <w:t>satellite VDES operators</w:t>
      </w:r>
    </w:p>
    <w:p w14:paraId="70D29D91" w14:textId="71E7A16B" w:rsidR="00A470FE" w:rsidRDefault="00A470FE" w:rsidP="00A470FE">
      <w:r>
        <w:t xml:space="preserve">This section provides </w:t>
      </w:r>
      <w:r w:rsidR="00C97FCD">
        <w:t>guidelines</w:t>
      </w:r>
      <w:r>
        <w:t xml:space="preserve"> for coordinated </w:t>
      </w:r>
      <w:r w:rsidR="00F33B0D">
        <w:t xml:space="preserve">use </w:t>
      </w:r>
      <w:r>
        <w:t xml:space="preserve">of </w:t>
      </w:r>
      <w:r w:rsidR="00F33B0D" w:rsidRPr="0005661D">
        <w:rPr>
          <w:rFonts w:asciiTheme="minorHAnsi" w:hAnsiTheme="minorHAnsi" w:cstheme="minorHAnsi"/>
        </w:rPr>
        <w:t>satellite VDES frequencies, Logical Channels and spreading code</w:t>
      </w:r>
      <w:r w:rsidR="00A5798A">
        <w:t>.</w:t>
      </w:r>
    </w:p>
    <w:p w14:paraId="5B686C09" w14:textId="5F7AFC5B" w:rsidR="002414C2" w:rsidRDefault="00045A3E" w:rsidP="00B24A38">
      <w:r>
        <w:t xml:space="preserve">Satellite VDES operators are encouraged to coordinate and agree among themselves </w:t>
      </w:r>
      <w:r w:rsidR="003D3E36">
        <w:t xml:space="preserve">how they use </w:t>
      </w:r>
      <w:r w:rsidR="003D3E36" w:rsidRPr="0005661D">
        <w:rPr>
          <w:rFonts w:asciiTheme="minorHAnsi" w:hAnsiTheme="minorHAnsi" w:cstheme="minorHAnsi"/>
        </w:rPr>
        <w:t>satellite VDES frequencies, Logical Channels and spreading code</w:t>
      </w:r>
      <w:r w:rsidR="003D3E36">
        <w:t xml:space="preserve"> for satellites with overlapping service areas.</w:t>
      </w:r>
      <w:r w:rsidR="00984FDD">
        <w:t xml:space="preserve"> </w:t>
      </w:r>
      <w:r w:rsidR="00C45E22">
        <w:t xml:space="preserve">Satellite VDES operators should approach </w:t>
      </w:r>
      <w:r w:rsidR="001642B2">
        <w:t xml:space="preserve">discussions on coordinated operations </w:t>
      </w:r>
      <w:r w:rsidR="004D0843">
        <w:t>with the concept of fair use and access</w:t>
      </w:r>
      <w:r w:rsidR="00EF4E00">
        <w:t xml:space="preserve"> in mind</w:t>
      </w:r>
      <w:r w:rsidR="00A42D82">
        <w:t>,</w:t>
      </w:r>
      <w:r w:rsidR="001D0055">
        <w:t xml:space="preserve"> while </w:t>
      </w:r>
      <w:r w:rsidR="008F4014">
        <w:t xml:space="preserve">taking due concern and consideration to </w:t>
      </w:r>
      <w:r w:rsidR="007933C3">
        <w:t xml:space="preserve">existing operations and </w:t>
      </w:r>
      <w:r w:rsidR="007A69BE">
        <w:t xml:space="preserve">service provision. Noting that </w:t>
      </w:r>
      <w:r w:rsidR="008D29C7">
        <w:t xml:space="preserve">through cooperation and coordinated use </w:t>
      </w:r>
      <w:r w:rsidR="000443A4">
        <w:t xml:space="preserve">of the available resources higher data throughput, </w:t>
      </w:r>
      <w:r w:rsidR="00C14F8E">
        <w:t>performance and availability is possible for the concerned satellite operators</w:t>
      </w:r>
      <w:r w:rsidR="00120673">
        <w:t>.</w:t>
      </w:r>
    </w:p>
    <w:p w14:paraId="5AE36253" w14:textId="77777777" w:rsidR="007B3B6E" w:rsidRDefault="007B3B6E" w:rsidP="007B3B6E">
      <w:pPr>
        <w:pStyle w:val="Heading2"/>
      </w:pPr>
      <w:r w:rsidRPr="00BF0E66">
        <w:t xml:space="preserve">Satellite </w:t>
      </w:r>
      <w:r>
        <w:t>VDES frequencies</w:t>
      </w:r>
    </w:p>
    <w:p w14:paraId="346998D1" w14:textId="698A90AC" w:rsidR="007B3B6E" w:rsidRDefault="003D194A" w:rsidP="00B24A38">
      <w:r>
        <w:lastRenderedPageBreak/>
        <w:t xml:space="preserve">Satellite VDES operators may coordinate use </w:t>
      </w:r>
      <w:r w:rsidR="003C1E5C">
        <w:t>their use of satellite VDES frequencies through different approaches</w:t>
      </w:r>
      <w:r w:rsidR="007C21B3">
        <w:t xml:space="preserve">, including </w:t>
      </w:r>
      <w:r w:rsidR="004C7908">
        <w:t xml:space="preserve">frequency division </w:t>
      </w:r>
      <w:r w:rsidR="00C42DBB">
        <w:t>and time division.</w:t>
      </w:r>
    </w:p>
    <w:p w14:paraId="06C579DD" w14:textId="2AFB4854" w:rsidR="00C42DBB" w:rsidRDefault="00537674" w:rsidP="00C42DBB">
      <w:pPr>
        <w:pStyle w:val="Heading3"/>
      </w:pPr>
      <w:r>
        <w:t>Coordinated use of freq</w:t>
      </w:r>
      <w:r w:rsidR="00D06F82">
        <w:t>uencies through f</w:t>
      </w:r>
      <w:r>
        <w:t>requency division</w:t>
      </w:r>
    </w:p>
    <w:p w14:paraId="5B59C64B" w14:textId="7CEC040C" w:rsidR="00910D96" w:rsidRDefault="00D06F82" w:rsidP="00D06F82">
      <w:r>
        <w:t xml:space="preserve">Satellite VDES operators may </w:t>
      </w:r>
      <w:r w:rsidR="009973E4">
        <w:t xml:space="preserve">coordinate their use of satellite VDES frequencies by </w:t>
      </w:r>
      <w:r w:rsidR="00A9235B">
        <w:t>formal or informal agreement o</w:t>
      </w:r>
      <w:r w:rsidR="00306156">
        <w:t>n use</w:t>
      </w:r>
      <w:r w:rsidR="003E727E">
        <w:t xml:space="preserve"> of</w:t>
      </w:r>
      <w:r w:rsidR="00306156">
        <w:t xml:space="preserve"> the </w:t>
      </w:r>
      <w:r w:rsidR="003F3EB0">
        <w:t xml:space="preserve">available frequencies in a shared manner by </w:t>
      </w:r>
      <w:r w:rsidR="00691E8F">
        <w:t>dividing the available frequency channels between them.</w:t>
      </w:r>
    </w:p>
    <w:p w14:paraId="3B3301FF" w14:textId="08024D3D" w:rsidR="00D06F82" w:rsidRDefault="00FC3822" w:rsidP="00D06F82">
      <w:r>
        <w:t>Examples of such coordinated use through frequency division include</w:t>
      </w:r>
      <w:r w:rsidR="005D53D2">
        <w:t xml:space="preserve"> agreement between satellite VDES operator A and satellite VDES operator B</w:t>
      </w:r>
      <w:r w:rsidR="00610676">
        <w:t xml:space="preserve"> to use frequencies as follows:</w:t>
      </w:r>
    </w:p>
    <w:p w14:paraId="59C0D774" w14:textId="12B86148" w:rsidR="00610676" w:rsidRDefault="00610676" w:rsidP="00D06F82">
      <w:r>
        <w:t xml:space="preserve">Example 1: </w:t>
      </w:r>
      <w:r w:rsidR="004B7557">
        <w:t>Satellite VDES operator A will use the RR Appendix 18 lower leg frequencies identified for VDES</w:t>
      </w:r>
      <w:r w:rsidR="000A046E">
        <w:t xml:space="preserve">, channels </w:t>
      </w:r>
      <w:r w:rsidR="00AE0786">
        <w:t>1024</w:t>
      </w:r>
      <w:r w:rsidR="00AD6D23">
        <w:t>, 1084, 1025, 1085, 1026 and 1086</w:t>
      </w:r>
      <w:r w:rsidR="002665D2">
        <w:t>, while Satellite VDES operator B will use the RR Appendix 18 upper leg frequencies identified for VDES</w:t>
      </w:r>
      <w:r w:rsidR="0025114D">
        <w:t>, channels 2024, 2084, 2025, 2085, 2026 and 2086</w:t>
      </w:r>
      <w:r w:rsidR="002665D2">
        <w:t>.</w:t>
      </w:r>
    </w:p>
    <w:p w14:paraId="0E39AA5E" w14:textId="4AD6E215" w:rsidR="00847700" w:rsidRDefault="002665D2" w:rsidP="00D06F82">
      <w:r>
        <w:t xml:space="preserve">Example 2: </w:t>
      </w:r>
      <w:r w:rsidR="00012625">
        <w:t xml:space="preserve">Satellite VDES operator A will use the four </w:t>
      </w:r>
      <w:r w:rsidR="00102CE1">
        <w:t xml:space="preserve">lowest </w:t>
      </w:r>
      <w:r w:rsidR="00A14C55">
        <w:t>channels</w:t>
      </w:r>
      <w:r w:rsidR="00012625">
        <w:t xml:space="preserve"> identified for VDES</w:t>
      </w:r>
      <w:r w:rsidR="00102CE1">
        <w:t xml:space="preserve"> in both lower and upper leg</w:t>
      </w:r>
      <w:r w:rsidR="00A14C55">
        <w:t xml:space="preserve"> of RR Appendix 18</w:t>
      </w:r>
      <w:r w:rsidR="00012625">
        <w:t>, channels 1024, 1084, 1025</w:t>
      </w:r>
      <w:r w:rsidR="00516A37">
        <w:t>,</w:t>
      </w:r>
      <w:r w:rsidR="00012625">
        <w:t xml:space="preserve"> 1085, </w:t>
      </w:r>
      <w:r w:rsidR="00A14C55">
        <w:t>2024, 2084, 2025 and 2085</w:t>
      </w:r>
      <w:r w:rsidR="00012625">
        <w:t xml:space="preserve">, while Satellite VDES operator B will use </w:t>
      </w:r>
      <w:r w:rsidR="00A14C55">
        <w:t xml:space="preserve">two </w:t>
      </w:r>
      <w:r w:rsidR="00303E74">
        <w:t>upper channels</w:t>
      </w:r>
      <w:r w:rsidR="00012625">
        <w:t xml:space="preserve"> identified for VDES</w:t>
      </w:r>
      <w:r w:rsidR="00303E74" w:rsidRPr="00303E74">
        <w:t xml:space="preserve"> </w:t>
      </w:r>
      <w:r w:rsidR="00303E74">
        <w:t>in both lower and upper leg of RR Appendix 18</w:t>
      </w:r>
      <w:r w:rsidR="00012625">
        <w:t xml:space="preserve">, channels </w:t>
      </w:r>
      <w:r w:rsidR="00516A37">
        <w:t>1026</w:t>
      </w:r>
      <w:r w:rsidR="00910D96">
        <w:t>,</w:t>
      </w:r>
      <w:r w:rsidR="00516A37">
        <w:t xml:space="preserve"> 1086</w:t>
      </w:r>
      <w:r w:rsidR="00910D96">
        <w:t xml:space="preserve">, </w:t>
      </w:r>
      <w:r w:rsidR="00012625">
        <w:t>2026 and 2086.</w:t>
      </w:r>
    </w:p>
    <w:p w14:paraId="085AE3D7" w14:textId="740BC7F7" w:rsidR="00847700" w:rsidRDefault="00847700" w:rsidP="00D06F82">
      <w:r>
        <w:t xml:space="preserve">The above are just </w:t>
      </w:r>
      <w:r w:rsidR="00D62A0C">
        <w:t>examples to illustrate the concept. Co</w:t>
      </w:r>
      <w:r w:rsidR="00E10B9E">
        <w:t>o</w:t>
      </w:r>
      <w:r w:rsidR="00D62A0C">
        <w:t>r</w:t>
      </w:r>
      <w:r w:rsidR="00E10B9E">
        <w:t xml:space="preserve">dinated use of the satellite VDES frequencies through frequency division can be arranged in </w:t>
      </w:r>
      <w:r w:rsidR="003841A0">
        <w:t xml:space="preserve">any </w:t>
      </w:r>
      <w:r w:rsidR="006F5C19">
        <w:t xml:space="preserve">permutation </w:t>
      </w:r>
      <w:r w:rsidR="004325C1">
        <w:t>possible between two or more sat</w:t>
      </w:r>
      <w:r w:rsidR="003841A0">
        <w:t>ellite VDES operators</w:t>
      </w:r>
      <w:r w:rsidR="00933CF5">
        <w:t>, both static and dynamic</w:t>
      </w:r>
      <w:r w:rsidR="00B567CA">
        <w:t xml:space="preserve">, </w:t>
      </w:r>
      <w:r w:rsidR="00611FB1">
        <w:t>considering</w:t>
      </w:r>
      <w:r w:rsidR="00B567CA">
        <w:t xml:space="preserve"> </w:t>
      </w:r>
      <w:r w:rsidR="00560C86">
        <w:t>the</w:t>
      </w:r>
      <w:r w:rsidR="00B567CA">
        <w:t xml:space="preserve"> </w:t>
      </w:r>
      <w:r w:rsidR="00F862E9">
        <w:t xml:space="preserve">minimum bandwidth </w:t>
      </w:r>
      <w:r w:rsidR="00AF69A0">
        <w:t xml:space="preserve">needed for </w:t>
      </w:r>
      <w:r w:rsidR="00BF7856">
        <w:t xml:space="preserve">satellite VDES transmissions according to the most recent </w:t>
      </w:r>
      <w:r w:rsidR="00671495">
        <w:t>version of Recommendation ITU-R M.2092</w:t>
      </w:r>
      <w:r w:rsidR="00BF7856">
        <w:t>.</w:t>
      </w:r>
    </w:p>
    <w:p w14:paraId="66076BAF" w14:textId="25C255A4" w:rsidR="00FD2BC6" w:rsidRDefault="00FD2BC6" w:rsidP="00FD2BC6">
      <w:pPr>
        <w:pStyle w:val="Heading3"/>
      </w:pPr>
      <w:r>
        <w:t>Coordinated use of frequencies through time division</w:t>
      </w:r>
    </w:p>
    <w:p w14:paraId="45BAFF27" w14:textId="7FB94CAD" w:rsidR="00FD2BC6" w:rsidRDefault="00FD2BC6" w:rsidP="00FD2BC6">
      <w:r>
        <w:t xml:space="preserve">Satellite VDES operators may coordinate their use of satellite VDES frequencies by formal or informal agreement on use </w:t>
      </w:r>
      <w:r w:rsidR="00A353A1">
        <w:t xml:space="preserve">of </w:t>
      </w:r>
      <w:r>
        <w:t xml:space="preserve">the available frequencies in a shared manner by dividing the available </w:t>
      </w:r>
      <w:r w:rsidR="008605D0">
        <w:t>transmission and receive time</w:t>
      </w:r>
      <w:r>
        <w:t xml:space="preserve"> between them.</w:t>
      </w:r>
    </w:p>
    <w:p w14:paraId="31DB4832" w14:textId="15600E57" w:rsidR="00FD2BC6" w:rsidRDefault="00FD2BC6" w:rsidP="00FD2BC6">
      <w:r>
        <w:t xml:space="preserve">Examples of such coordinated use through </w:t>
      </w:r>
      <w:r w:rsidR="008605D0">
        <w:t>time</w:t>
      </w:r>
      <w:r>
        <w:t xml:space="preserve"> division include agreement between satellite VDES operator A and satellite VDES operator B to use frequencies as follows:</w:t>
      </w:r>
    </w:p>
    <w:p w14:paraId="446D7583" w14:textId="762605EB" w:rsidR="00FD2BC6" w:rsidRDefault="00FD2BC6" w:rsidP="00FD2BC6">
      <w:r>
        <w:t xml:space="preserve">Example 1: Satellite VDES operator A will use the </w:t>
      </w:r>
      <w:r w:rsidR="008605D0">
        <w:t>satellite</w:t>
      </w:r>
      <w:r>
        <w:t xml:space="preserve"> VDES</w:t>
      </w:r>
      <w:r w:rsidR="008605D0">
        <w:t xml:space="preserve"> frequencies </w:t>
      </w:r>
      <w:r w:rsidR="006B7C19">
        <w:t xml:space="preserve">between </w:t>
      </w:r>
      <w:r w:rsidR="00C75A22">
        <w:t>00:00UTC and 12:00UTC</w:t>
      </w:r>
      <w:r>
        <w:t xml:space="preserve">, while Satellite VDES operator B will use the </w:t>
      </w:r>
      <w:r w:rsidR="00C75A22">
        <w:t xml:space="preserve">satellite VDES frequencies between 12:00UTC and </w:t>
      </w:r>
      <w:r w:rsidR="00AE78D3">
        <w:t>00:00UTC</w:t>
      </w:r>
      <w:r>
        <w:t>.</w:t>
      </w:r>
    </w:p>
    <w:p w14:paraId="36420A24" w14:textId="498ADED2" w:rsidR="00FD2BC6" w:rsidRDefault="00FD2BC6" w:rsidP="00FD2BC6">
      <w:r>
        <w:t xml:space="preserve">Example 2: Satellite VDES operator A will use the </w:t>
      </w:r>
      <w:r w:rsidR="00AE78D3">
        <w:t xml:space="preserve">satellite VDES frequencies </w:t>
      </w:r>
      <w:r w:rsidR="00FE02EB">
        <w:t xml:space="preserve">for one hour </w:t>
      </w:r>
      <w:r w:rsidR="00AE78D3">
        <w:t xml:space="preserve">every </w:t>
      </w:r>
      <w:r w:rsidR="00225FF7">
        <w:t>third</w:t>
      </w:r>
      <w:r w:rsidR="000017F6">
        <w:t xml:space="preserve"> </w:t>
      </w:r>
      <w:r w:rsidR="00FE02EB">
        <w:t>hour</w:t>
      </w:r>
      <w:r>
        <w:t xml:space="preserve">, while Satellite VDES operator B will use </w:t>
      </w:r>
      <w:r w:rsidR="000017F6">
        <w:t xml:space="preserve">the satellite VDES frequencies </w:t>
      </w:r>
      <w:r w:rsidR="00FE02EB">
        <w:t>for the r</w:t>
      </w:r>
      <w:r w:rsidR="00293937">
        <w:t>emaining time</w:t>
      </w:r>
      <w:r>
        <w:t>.</w:t>
      </w:r>
    </w:p>
    <w:p w14:paraId="1E8BE1F8" w14:textId="41E95776" w:rsidR="00FD2BC6" w:rsidRPr="00D06F82" w:rsidRDefault="00FD2BC6" w:rsidP="00FD2BC6">
      <w:r>
        <w:t xml:space="preserve">The above are just examples to illustrate the concept. Coordinated use of the satellite VDES frequencies through </w:t>
      </w:r>
      <w:r w:rsidR="000017F6">
        <w:t>time</w:t>
      </w:r>
      <w:r>
        <w:t xml:space="preserve"> division can be arranged in any permutation possible between two or more satellite VDES operators</w:t>
      </w:r>
      <w:r w:rsidR="00933CF5">
        <w:t>, both static and dynamic</w:t>
      </w:r>
      <w:r>
        <w:t xml:space="preserve">, considering </w:t>
      </w:r>
      <w:r w:rsidR="00D33184">
        <w:t xml:space="preserve">any </w:t>
      </w:r>
      <w:r>
        <w:t xml:space="preserve">minimum </w:t>
      </w:r>
      <w:r w:rsidR="0003438E">
        <w:t xml:space="preserve">time </w:t>
      </w:r>
      <w:r>
        <w:t xml:space="preserve">needed for </w:t>
      </w:r>
      <w:r w:rsidR="0003438E">
        <w:t xml:space="preserve">efficient </w:t>
      </w:r>
      <w:r>
        <w:t xml:space="preserve">satellite VDES </w:t>
      </w:r>
      <w:r w:rsidR="00DE64BD">
        <w:t xml:space="preserve">operations </w:t>
      </w:r>
      <w:r w:rsidR="00033BC5">
        <w:t>according to the most recent version of Recommendation ITU-R M.2092</w:t>
      </w:r>
      <w:r>
        <w:t>.</w:t>
      </w:r>
    </w:p>
    <w:p w14:paraId="25201976" w14:textId="77777777" w:rsidR="00BE37D7" w:rsidRDefault="00BE37D7" w:rsidP="000B1200">
      <w:pPr>
        <w:pStyle w:val="Heading2"/>
      </w:pPr>
      <w:r>
        <w:t>Logical Channels</w:t>
      </w:r>
    </w:p>
    <w:p w14:paraId="2D7B3470" w14:textId="31E0DD09" w:rsidR="00AE596E" w:rsidRDefault="00AE596E" w:rsidP="00AE596E">
      <w:r>
        <w:t>Satellite VDES operators may coordinate their use of satellite VDES Logical Channels by formal or informal agreement on use of the available Logical Channels in a shared manner by dividing the available Logical Channels between them.</w:t>
      </w:r>
    </w:p>
    <w:p w14:paraId="68E4D3D1" w14:textId="7C8CDE8F" w:rsidR="00CB2DF2" w:rsidRDefault="00EA3D92" w:rsidP="00CB2DF2">
      <w:r>
        <w:t>E</w:t>
      </w:r>
      <w:r w:rsidR="00CB2DF2">
        <w:t>xample of such coordinated use include agreement between satellite VDES operator A and satellite VDES operator B to use Logical Channels as follows:</w:t>
      </w:r>
    </w:p>
    <w:p w14:paraId="251E5748" w14:textId="27C84F2F" w:rsidR="00CB2DF2" w:rsidRDefault="00CB2DF2" w:rsidP="00CB2DF2">
      <w:r>
        <w:t xml:space="preserve">Example </w:t>
      </w:r>
      <w:r w:rsidR="00D2740B">
        <w:t>1</w:t>
      </w:r>
      <w:r>
        <w:t>: Satellite VDES operator A will use the satellite VDES Logical Channel</w:t>
      </w:r>
      <w:r w:rsidR="00D2740B">
        <w:t>s</w:t>
      </w:r>
      <w:r>
        <w:t xml:space="preserve"> 1 and 2, while Satellite VDES operator B will use the </w:t>
      </w:r>
      <w:r w:rsidR="00D2740B">
        <w:t xml:space="preserve">remaining </w:t>
      </w:r>
      <w:r>
        <w:t xml:space="preserve">satellite VDES </w:t>
      </w:r>
      <w:r w:rsidR="00D2740B">
        <w:t>Logical Channels</w:t>
      </w:r>
      <w:r>
        <w:t>.</w:t>
      </w:r>
    </w:p>
    <w:p w14:paraId="6478906E" w14:textId="656303FF" w:rsidR="000656BC" w:rsidRDefault="000656BC" w:rsidP="000656BC">
      <w:r>
        <w:t xml:space="preserve">The above are just </w:t>
      </w:r>
      <w:r w:rsidR="003651E3">
        <w:t xml:space="preserve">an </w:t>
      </w:r>
      <w:r>
        <w:t xml:space="preserve">example to illustrate the concept. Coordinated use of the satellite VDES </w:t>
      </w:r>
      <w:r w:rsidR="00BD4CE9">
        <w:t>Logical Channels</w:t>
      </w:r>
      <w:r>
        <w:t xml:space="preserve"> can be arranged in any permutation possible between two or more satellite VDES operators, both static and dynamic, </w:t>
      </w:r>
      <w:r>
        <w:lastRenderedPageBreak/>
        <w:t xml:space="preserve">considering any </w:t>
      </w:r>
      <w:r w:rsidR="00560C86">
        <w:t xml:space="preserve">minimum </w:t>
      </w:r>
      <w:r w:rsidR="00033BC5">
        <w:t>Logical Channel resources</w:t>
      </w:r>
      <w:r w:rsidR="00560C86">
        <w:t xml:space="preserve"> needed </w:t>
      </w:r>
      <w:r w:rsidR="00033BC5">
        <w:t xml:space="preserve">for efficient satellite VDES operations </w:t>
      </w:r>
      <w:r w:rsidR="00560C86">
        <w:t>according to the most recent version of Recommendation ITU-R M.2092</w:t>
      </w:r>
      <w:r>
        <w:t>.</w:t>
      </w:r>
    </w:p>
    <w:p w14:paraId="0B11F51C" w14:textId="505825EB" w:rsidR="00BB2A19" w:rsidRDefault="00BB2A19" w:rsidP="000656BC">
      <w:r w:rsidRPr="00BB2A19">
        <w:t xml:space="preserve">It is understood that logical channel coordination is </w:t>
      </w:r>
      <w:r w:rsidR="00A7379E">
        <w:t>beneficial</w:t>
      </w:r>
      <w:r w:rsidRPr="00BB2A19">
        <w:t xml:space="preserve"> for those satellites which provide overlapping service areas, using the same VDES frequencies, spreading codes, </w:t>
      </w:r>
      <w:r w:rsidR="003943F4">
        <w:t>etc</w:t>
      </w:r>
      <w:r w:rsidRPr="00BB2A19">
        <w:t xml:space="preserve">. </w:t>
      </w:r>
      <w:r w:rsidR="00DE63E3">
        <w:t>Furthermore,</w:t>
      </w:r>
      <w:r w:rsidR="00BC7BCF">
        <w:t xml:space="preserve"> it is noted that</w:t>
      </w:r>
      <w:r w:rsidRPr="00BB2A19">
        <w:t xml:space="preserve">, logical channels are defined by each satellite operator and </w:t>
      </w:r>
      <w:r w:rsidR="00BC7BCF" w:rsidRPr="00BB2A19">
        <w:t>announc</w:t>
      </w:r>
      <w:r w:rsidR="00BC7BCF">
        <w:t>ed</w:t>
      </w:r>
      <w:r w:rsidRPr="00BB2A19">
        <w:t xml:space="preserve"> </w:t>
      </w:r>
      <w:r w:rsidR="00BC7BCF">
        <w:t>in the</w:t>
      </w:r>
      <w:r w:rsidRPr="00BB2A19">
        <w:t xml:space="preserve"> Satellite Bulletin Board. Use of logical channels normally require </w:t>
      </w:r>
      <w:r w:rsidR="00C536FA">
        <w:t xml:space="preserve">a </w:t>
      </w:r>
      <w:r w:rsidRPr="00BB2A19">
        <w:t xml:space="preserve">resource request </w:t>
      </w:r>
      <w:r w:rsidR="000D5A8E">
        <w:t>and a</w:t>
      </w:r>
      <w:r w:rsidRPr="00BB2A19">
        <w:t xml:space="preserve"> resource allocation </w:t>
      </w:r>
      <w:r w:rsidR="000D5A8E">
        <w:t xml:space="preserve">managed by the </w:t>
      </w:r>
      <w:r w:rsidRPr="00BB2A19">
        <w:t>satellite which defines the logical channels.</w:t>
      </w:r>
    </w:p>
    <w:p w14:paraId="0AC6F6E0" w14:textId="77777777" w:rsidR="00237394" w:rsidRDefault="00237394" w:rsidP="000B1200">
      <w:pPr>
        <w:pStyle w:val="Heading2"/>
      </w:pPr>
      <w:r>
        <w:t>Spreading code</w:t>
      </w:r>
    </w:p>
    <w:p w14:paraId="1639A37C" w14:textId="002BE669" w:rsidR="00237394" w:rsidRDefault="00237394" w:rsidP="00237394">
      <w:r>
        <w:t>Satellite VDES operators may coordinate their use of satellite VDES Spreading codes by formal or informal agreement on use of the available spreading codes in a shared manner by dividing the available spreading codes between them.</w:t>
      </w:r>
    </w:p>
    <w:p w14:paraId="1878FC24" w14:textId="679EC8C5" w:rsidR="00237394" w:rsidRDefault="00237394" w:rsidP="00237394">
      <w:r>
        <w:t>Example of such coordinated use include agreement between satellite VDES operator A and satellite VDES operator B to use spreading codes as follows:</w:t>
      </w:r>
    </w:p>
    <w:p w14:paraId="746D9CC2" w14:textId="3A251243" w:rsidR="00237394" w:rsidRDefault="00237394" w:rsidP="00237394">
      <w:r>
        <w:t xml:space="preserve">Example 1: Satellite VDES operator A will use </w:t>
      </w:r>
      <w:r w:rsidR="007F1E94">
        <w:t xml:space="preserve">a specified set of </w:t>
      </w:r>
      <w:r>
        <w:t xml:space="preserve">the satellite VDES </w:t>
      </w:r>
      <w:r w:rsidR="007F1E94">
        <w:t>spreading codes</w:t>
      </w:r>
      <w:r>
        <w:t xml:space="preserve">, while Satellite VDES operator B will use the remaining satellite VDES </w:t>
      </w:r>
      <w:r w:rsidR="007F1E94">
        <w:t>spreading codes</w:t>
      </w:r>
      <w:r>
        <w:t>.</w:t>
      </w:r>
    </w:p>
    <w:p w14:paraId="2C23BAB6" w14:textId="4618231F" w:rsidR="00237394" w:rsidRDefault="00237394" w:rsidP="00237394">
      <w:r>
        <w:t xml:space="preserve">The above are just an example to illustrate the concept. Coordinated use of the satellite VDES </w:t>
      </w:r>
      <w:r w:rsidR="007F1E94">
        <w:t xml:space="preserve">spreading codes </w:t>
      </w:r>
      <w:r>
        <w:t xml:space="preserve">can be arranged in any permutation possible between two or more satellite VDES operators, both static and dynamic, considering any </w:t>
      </w:r>
      <w:r w:rsidR="00F47E29">
        <w:t>constraints</w:t>
      </w:r>
      <w:r w:rsidR="001972B0">
        <w:t xml:space="preserve"> on</w:t>
      </w:r>
      <w:r>
        <w:t xml:space="preserve"> </w:t>
      </w:r>
      <w:r w:rsidR="00F47E29">
        <w:t xml:space="preserve">use of </w:t>
      </w:r>
      <w:r w:rsidR="007F1E94">
        <w:t xml:space="preserve">spreading codes </w:t>
      </w:r>
      <w:r w:rsidR="00F47E29">
        <w:t>required</w:t>
      </w:r>
      <w:r>
        <w:t xml:space="preserve"> for efficient satellite VDES operations according to the most recent version of Recommendation ITU-R M.2092.</w:t>
      </w:r>
    </w:p>
    <w:p w14:paraId="3EDBA9D8" w14:textId="77777777" w:rsidR="00510A97" w:rsidRDefault="00510A97" w:rsidP="000B1200">
      <w:pPr>
        <w:pStyle w:val="Heading2"/>
      </w:pPr>
      <w:r>
        <w:t>Service area</w:t>
      </w:r>
    </w:p>
    <w:p w14:paraId="0B3C8969" w14:textId="5C3A3349" w:rsidR="00510A97" w:rsidRDefault="00510A97" w:rsidP="00510A97">
      <w:r>
        <w:t xml:space="preserve">Satellite VDES operators may coordinate their use of satellite VDES </w:t>
      </w:r>
      <w:r w:rsidR="0043263D">
        <w:t xml:space="preserve">resources geographically </w:t>
      </w:r>
      <w:r>
        <w:t xml:space="preserve">by formal or informal agreement on </w:t>
      </w:r>
      <w:r w:rsidR="009855B6">
        <w:t xml:space="preserve">satellite VDES operations over </w:t>
      </w:r>
      <w:r w:rsidR="00814189">
        <w:t>service areas</w:t>
      </w:r>
      <w:r>
        <w:t xml:space="preserve"> </w:t>
      </w:r>
      <w:r w:rsidR="00512395">
        <w:t xml:space="preserve">in </w:t>
      </w:r>
      <w:r>
        <w:t xml:space="preserve">a shared manner by dividing the available </w:t>
      </w:r>
      <w:r w:rsidR="004C4B28">
        <w:t>service areas</w:t>
      </w:r>
      <w:r>
        <w:t xml:space="preserve"> between them.</w:t>
      </w:r>
    </w:p>
    <w:p w14:paraId="2C703B24" w14:textId="01FF9FE5" w:rsidR="00510A97" w:rsidRDefault="00510A97" w:rsidP="00510A97">
      <w:r>
        <w:t xml:space="preserve">Example of such coordinated </w:t>
      </w:r>
      <w:r w:rsidR="009855B6">
        <w:t>service area operations</w:t>
      </w:r>
      <w:r>
        <w:t xml:space="preserve"> include agreement between satellite VDES operator A and satellite VDES operator B to </w:t>
      </w:r>
      <w:r w:rsidR="009855B6">
        <w:t>operate over different service areas</w:t>
      </w:r>
      <w:r>
        <w:t xml:space="preserve"> as follows:</w:t>
      </w:r>
    </w:p>
    <w:p w14:paraId="68999E2E" w14:textId="55F12F67" w:rsidR="00510A97" w:rsidRDefault="00510A97" w:rsidP="00510A97">
      <w:r>
        <w:t xml:space="preserve">Example 1: Satellite VDES operator A will </w:t>
      </w:r>
      <w:r w:rsidR="009855B6">
        <w:t xml:space="preserve">operate </w:t>
      </w:r>
      <w:r w:rsidR="006673D3">
        <w:t xml:space="preserve">and provide services to specified </w:t>
      </w:r>
      <w:r w:rsidR="00CA78C8">
        <w:t>geographical</w:t>
      </w:r>
      <w:r w:rsidR="006673D3">
        <w:t xml:space="preserve"> </w:t>
      </w:r>
      <w:r w:rsidR="00CA78C8">
        <w:t>areas</w:t>
      </w:r>
      <w:r w:rsidR="006673D3">
        <w:t xml:space="preserve">, such as </w:t>
      </w:r>
      <w:r w:rsidR="00CA78C8">
        <w:t xml:space="preserve">one or </w:t>
      </w:r>
      <w:r w:rsidR="003651E3">
        <w:t>more</w:t>
      </w:r>
      <w:r w:rsidR="00CA78C8">
        <w:t xml:space="preserve"> NAV</w:t>
      </w:r>
      <w:r w:rsidR="00C234C8">
        <w:t>A</w:t>
      </w:r>
      <w:r w:rsidR="00CA78C8">
        <w:t>RE</w:t>
      </w:r>
      <w:r w:rsidR="00C234C8">
        <w:t>A</w:t>
      </w:r>
      <w:r w:rsidR="003651E3">
        <w:t>s</w:t>
      </w:r>
      <w:r w:rsidR="00492D74">
        <w:t xml:space="preserve"> or other </w:t>
      </w:r>
      <w:r w:rsidR="008A7BEF">
        <w:t>to be defined service areas</w:t>
      </w:r>
      <w:r w:rsidR="00CA78C8">
        <w:t xml:space="preserve">, </w:t>
      </w:r>
      <w:r>
        <w:t xml:space="preserve">while Satellite VDES operator B will </w:t>
      </w:r>
      <w:r w:rsidR="00CA78C8">
        <w:t>operate and provide services elsewhere</w:t>
      </w:r>
      <w:r>
        <w:t>.</w:t>
      </w:r>
    </w:p>
    <w:p w14:paraId="230924E8" w14:textId="6D1E2D21" w:rsidR="00FD2BC6" w:rsidRDefault="00510A97" w:rsidP="00D06F82">
      <w:r>
        <w:t xml:space="preserve">The above are just </w:t>
      </w:r>
      <w:r w:rsidR="003651E3">
        <w:t xml:space="preserve">an </w:t>
      </w:r>
      <w:r>
        <w:t xml:space="preserve">example to illustrate the concept. Coordinated satellite VDES </w:t>
      </w:r>
      <w:r w:rsidR="00060F08">
        <w:t>operations to service areas</w:t>
      </w:r>
      <w:r>
        <w:t xml:space="preserve"> can be arranged in any permutation possible between two or more satellite VDES operators, both static and dynamic, considering any minimum</w:t>
      </w:r>
      <w:r w:rsidR="00237394">
        <w:t xml:space="preserve"> or maximum</w:t>
      </w:r>
      <w:r>
        <w:t xml:space="preserve"> </w:t>
      </w:r>
      <w:r w:rsidR="00237394">
        <w:t>service area size</w:t>
      </w:r>
      <w:r>
        <w:t xml:space="preserve"> needed for efficient satellite VDES operations according to the most recent version of Recommendation ITU-R M.2092.</w:t>
      </w:r>
    </w:p>
    <w:p w14:paraId="6615C620" w14:textId="152796E2" w:rsidR="00445B46" w:rsidRDefault="00AE4423" w:rsidP="000B1200">
      <w:pPr>
        <w:pStyle w:val="Heading2"/>
      </w:pPr>
      <w:r>
        <w:t>Combined and hybrid coordination approach</w:t>
      </w:r>
    </w:p>
    <w:p w14:paraId="4F47CD25" w14:textId="03C9019D" w:rsidR="00AE4423" w:rsidRDefault="00AE4423" w:rsidP="00AE4423">
      <w:r>
        <w:t>Satellite VDES operators may use a combined and hybrid coordinat</w:t>
      </w:r>
      <w:r w:rsidR="00200B7C">
        <w:t xml:space="preserve">ion approach for efficient </w:t>
      </w:r>
      <w:r>
        <w:t xml:space="preserve">use satellite VDES </w:t>
      </w:r>
      <w:r w:rsidR="00200B7C">
        <w:t xml:space="preserve">resources. </w:t>
      </w:r>
      <w:r w:rsidR="00CF53B8">
        <w:t xml:space="preserve">A combined and hybrid coordination approach involves a formal or informal agreement between satellite VDES operators on satellite VDES operations through the combination of two or more of </w:t>
      </w:r>
      <w:r w:rsidR="002C4937">
        <w:t xml:space="preserve">the </w:t>
      </w:r>
      <w:r w:rsidR="00CF53B8">
        <w:t>resource sharing approaches</w:t>
      </w:r>
      <w:r w:rsidR="000F0C3E">
        <w:t xml:space="preserve"> listed above</w:t>
      </w:r>
      <w:r w:rsidR="00CF53B8">
        <w:t>.</w:t>
      </w:r>
    </w:p>
    <w:p w14:paraId="3845E2CE" w14:textId="6437CC31" w:rsidR="00CF53B8" w:rsidRDefault="00CF53B8" w:rsidP="00AE4423">
      <w:r>
        <w:t>Example of such combined and hybrid coordination approaches include agreement</w:t>
      </w:r>
      <w:r w:rsidRPr="00CF53B8">
        <w:t xml:space="preserve"> </w:t>
      </w:r>
      <w:r>
        <w:t>between satellite VDES operator A and satellite VDES operator B to operate as follows:</w:t>
      </w:r>
    </w:p>
    <w:p w14:paraId="67855B5C" w14:textId="3DA3567B" w:rsidR="00526903" w:rsidRDefault="00526903" w:rsidP="00526903">
      <w:r>
        <w:t>Example 1: Satellite VDES operator A will operate and provide services to specified geographical areas, such as one or more NAVARE</w:t>
      </w:r>
      <w:r w:rsidR="00B936E8">
        <w:t>A</w:t>
      </w:r>
      <w:r>
        <w:t>s</w:t>
      </w:r>
      <w:r w:rsidR="00AD23E4">
        <w:t>, or other to be defined service areas,</w:t>
      </w:r>
      <w:r>
        <w:t xml:space="preserve"> using the satellite VDES Logical Channels 1 and 2 on the RR Appendix 18 lower leg frequencies identified for VDES, channels 1024, 1084, 1025, 1085, 1026 and 1086, for one hour every third hour, while Satellite VDES operator B will operate and provide services to the specified service areas using the remaining logical channels, frequencies and time available.</w:t>
      </w:r>
    </w:p>
    <w:p w14:paraId="5E6C27A2" w14:textId="4601B75B" w:rsidR="00445B46" w:rsidRPr="00D06F82" w:rsidRDefault="00526903" w:rsidP="00D06F82">
      <w:r>
        <w:lastRenderedPageBreak/>
        <w:t>The above are just an example to illustrate the concept. Coordinated satellite VDES operations can be arranged in any permutation possible between two or more satellite VDES operators, both static and dynamic, considering any minimum or maximum resources needed for efficient satellite VDES operations according to the most recent version of Recommendation ITU-R M.2092.</w:t>
      </w:r>
    </w:p>
    <w:sectPr w:rsidR="00445B46" w:rsidRPr="00D06F82" w:rsidSect="00E46895">
      <w:headerReference w:type="default" r:id="rId10"/>
      <w:footerReference w:type="default" r:id="rId11"/>
      <w:pgSz w:w="11906" w:h="16838"/>
      <w:pgMar w:top="567" w:right="1134" w:bottom="816" w:left="1134"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0E297" w14:textId="77777777" w:rsidR="008E599D" w:rsidRDefault="008E599D" w:rsidP="00880FF6">
      <w:pPr>
        <w:spacing w:after="0" w:line="240" w:lineRule="auto"/>
      </w:pPr>
      <w:r>
        <w:separator/>
      </w:r>
    </w:p>
  </w:endnote>
  <w:endnote w:type="continuationSeparator" w:id="0">
    <w:p w14:paraId="11CD81CE" w14:textId="77777777" w:rsidR="008E599D" w:rsidRDefault="008E599D" w:rsidP="00880FF6">
      <w:pPr>
        <w:spacing w:after="0" w:line="240" w:lineRule="auto"/>
      </w:pPr>
      <w:r>
        <w:continuationSeparator/>
      </w:r>
    </w:p>
  </w:endnote>
  <w:endnote w:type="continuationNotice" w:id="1">
    <w:p w14:paraId="645B1448" w14:textId="77777777" w:rsidR="008E599D" w:rsidRDefault="008E5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11D59" w14:textId="77777777" w:rsidR="009B5D1F" w:rsidRPr="00692C83" w:rsidRDefault="00525693" w:rsidP="00525693">
    <w:pPr>
      <w:pStyle w:val="Footer"/>
      <w:jc w:val="center"/>
      <w:rPr>
        <w:rFonts w:cs="Calibri"/>
        <w:sz w:val="18"/>
        <w:szCs w:val="18"/>
        <w:lang w:val="nb-NO"/>
      </w:rPr>
    </w:pPr>
    <w:r w:rsidRPr="00692C83">
      <w:rPr>
        <w:rFonts w:cs="Calibri"/>
        <w:sz w:val="18"/>
        <w:szCs w:val="18"/>
        <w:lang w:val="nb-NO"/>
      </w:rPr>
      <w:t>administration@vdes-alliance.org</w:t>
    </w:r>
    <w:r w:rsidR="00880FF6" w:rsidRPr="00692C83">
      <w:rPr>
        <w:rFonts w:cs="Calibri"/>
        <w:sz w:val="18"/>
        <w:szCs w:val="18"/>
        <w:lang w:val="nb-NO"/>
      </w:rPr>
      <w:t xml:space="preserve"> | www.vdes-alliance.org | CVR: 43486896 | Danalien 1, 9000 Aalborg, Denmark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3475B" w14:textId="77777777" w:rsidR="008E599D" w:rsidRDefault="008E599D" w:rsidP="00880FF6">
      <w:pPr>
        <w:spacing w:after="0" w:line="240" w:lineRule="auto"/>
      </w:pPr>
      <w:r>
        <w:separator/>
      </w:r>
    </w:p>
  </w:footnote>
  <w:footnote w:type="continuationSeparator" w:id="0">
    <w:p w14:paraId="40495356" w14:textId="77777777" w:rsidR="008E599D" w:rsidRDefault="008E599D" w:rsidP="00880FF6">
      <w:pPr>
        <w:spacing w:after="0" w:line="240" w:lineRule="auto"/>
      </w:pPr>
      <w:r>
        <w:continuationSeparator/>
      </w:r>
    </w:p>
  </w:footnote>
  <w:footnote w:type="continuationNotice" w:id="1">
    <w:p w14:paraId="50AC7024" w14:textId="77777777" w:rsidR="008E599D" w:rsidRDefault="008E59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Look w:val="04A0" w:firstRow="1" w:lastRow="0" w:firstColumn="1" w:lastColumn="0" w:noHBand="0" w:noVBand="1"/>
    </w:tblPr>
    <w:tblGrid>
      <w:gridCol w:w="5382"/>
      <w:gridCol w:w="2693"/>
      <w:gridCol w:w="1553"/>
    </w:tblGrid>
    <w:tr w:rsidR="00627AA6" w:rsidRPr="00AB38E2" w14:paraId="46BCE3E2" w14:textId="77777777" w:rsidTr="007C66A0">
      <w:trPr>
        <w:jc w:val="center"/>
      </w:trPr>
      <w:tc>
        <w:tcPr>
          <w:tcW w:w="5382" w:type="dxa"/>
        </w:tcPr>
        <w:p w14:paraId="36F1520D" w14:textId="2786207D" w:rsidR="009B5D1F" w:rsidRPr="00880FF6" w:rsidRDefault="008B20E1" w:rsidP="00AB38E2">
          <w:pPr>
            <w:pStyle w:val="Header"/>
            <w:rPr>
              <w:rFonts w:asciiTheme="minorHAnsi" w:hAnsiTheme="minorHAnsi" w:cstheme="minorHAnsi"/>
            </w:rPr>
          </w:pPr>
          <w:r w:rsidRPr="00880FF6">
            <w:rPr>
              <w:rFonts w:asciiTheme="minorHAnsi" w:hAnsiTheme="minorHAnsi" w:cstheme="minorHAnsi"/>
            </w:rPr>
            <w:t>Title:</w:t>
          </w:r>
          <w:r w:rsidR="004E2012">
            <w:rPr>
              <w:rFonts w:asciiTheme="minorHAnsi" w:hAnsiTheme="minorHAnsi" w:cstheme="minorHAnsi"/>
            </w:rPr>
            <w:t xml:space="preserve"> </w:t>
          </w:r>
          <w:r w:rsidR="005D2783" w:rsidRPr="005D2783">
            <w:rPr>
              <w:rFonts w:asciiTheme="minorHAnsi" w:hAnsiTheme="minorHAnsi" w:cstheme="minorHAnsi"/>
            </w:rPr>
            <w:t xml:space="preserve">Guideline </w:t>
          </w:r>
          <w:r w:rsidR="002F0676">
            <w:rPr>
              <w:rFonts w:asciiTheme="minorHAnsi" w:hAnsiTheme="minorHAnsi" w:cstheme="minorHAnsi"/>
            </w:rPr>
            <w:t>on</w:t>
          </w:r>
          <w:r w:rsidR="005D2783" w:rsidRPr="005D2783">
            <w:rPr>
              <w:rFonts w:asciiTheme="minorHAnsi" w:hAnsiTheme="minorHAnsi" w:cstheme="minorHAnsi"/>
            </w:rPr>
            <w:t xml:space="preserve"> </w:t>
          </w:r>
          <w:r w:rsidR="007078C7">
            <w:rPr>
              <w:rFonts w:asciiTheme="minorHAnsi" w:hAnsiTheme="minorHAnsi" w:cstheme="minorHAnsi"/>
            </w:rPr>
            <w:t xml:space="preserve">coordinated use of satellite VDES frequencies, Logical Channels and spreading code among </w:t>
          </w:r>
          <w:r w:rsidR="001F485F">
            <w:rPr>
              <w:rFonts w:asciiTheme="minorHAnsi" w:hAnsiTheme="minorHAnsi" w:cstheme="minorHAnsi"/>
            </w:rPr>
            <w:t>satellite VDES operators</w:t>
          </w:r>
        </w:p>
        <w:p w14:paraId="62E59882" w14:textId="401BE315" w:rsidR="009B5D1F" w:rsidRPr="00880FF6" w:rsidRDefault="008B20E1" w:rsidP="00AB38E2">
          <w:pPr>
            <w:pStyle w:val="Header"/>
            <w:rPr>
              <w:rFonts w:asciiTheme="minorHAnsi" w:hAnsiTheme="minorHAnsi" w:cstheme="minorHAnsi"/>
            </w:rPr>
          </w:pPr>
          <w:r w:rsidRPr="00880FF6">
            <w:rPr>
              <w:rFonts w:asciiTheme="minorHAnsi" w:hAnsiTheme="minorHAnsi" w:cstheme="minorHAnsi"/>
            </w:rPr>
            <w:t xml:space="preserve">Doc#: </w:t>
          </w:r>
          <w:r w:rsidR="00BA0593">
            <w:rPr>
              <w:rFonts w:asciiTheme="minorHAnsi" w:hAnsiTheme="minorHAnsi" w:cstheme="minorHAnsi"/>
            </w:rPr>
            <w:t>G</w:t>
          </w:r>
          <w:r w:rsidR="004E2012">
            <w:rPr>
              <w:rFonts w:asciiTheme="minorHAnsi" w:hAnsiTheme="minorHAnsi" w:cstheme="minorHAnsi"/>
            </w:rPr>
            <w:t>-1002</w:t>
          </w:r>
        </w:p>
      </w:tc>
      <w:tc>
        <w:tcPr>
          <w:tcW w:w="2693" w:type="dxa"/>
        </w:tcPr>
        <w:p w14:paraId="1D18A0A0" w14:textId="0AE91D1B" w:rsidR="009B5D1F" w:rsidRPr="00880FF6" w:rsidRDefault="008B20E1" w:rsidP="00AB38E2">
          <w:pPr>
            <w:pStyle w:val="Header"/>
            <w:rPr>
              <w:rFonts w:asciiTheme="minorHAnsi" w:hAnsiTheme="minorHAnsi" w:cstheme="minorHAnsi"/>
            </w:rPr>
          </w:pPr>
          <w:r w:rsidRPr="00880FF6">
            <w:rPr>
              <w:rFonts w:asciiTheme="minorHAnsi" w:hAnsiTheme="minorHAnsi" w:cstheme="minorHAnsi"/>
            </w:rPr>
            <w:t xml:space="preserve">Version: </w:t>
          </w:r>
          <w:r w:rsidR="00606D81">
            <w:rPr>
              <w:rFonts w:asciiTheme="minorHAnsi" w:hAnsiTheme="minorHAnsi" w:cstheme="minorHAnsi"/>
            </w:rPr>
            <w:t>1</w:t>
          </w:r>
        </w:p>
        <w:p w14:paraId="54D6D518" w14:textId="6411967E" w:rsidR="00492E45" w:rsidRPr="00880FF6" w:rsidRDefault="00215732" w:rsidP="00AB38E2">
          <w:pPr>
            <w:pStyle w:val="Header"/>
            <w:rPr>
              <w:rFonts w:asciiTheme="minorHAnsi" w:hAnsiTheme="minorHAnsi" w:cstheme="minorHAnsi"/>
            </w:rPr>
          </w:pPr>
          <w:r>
            <w:rPr>
              <w:rFonts w:asciiTheme="minorHAnsi" w:hAnsiTheme="minorHAnsi" w:cstheme="minorHAnsi"/>
            </w:rPr>
            <w:t>D</w:t>
          </w:r>
          <w:r w:rsidR="00DD7B3B" w:rsidRPr="00880FF6">
            <w:rPr>
              <w:rFonts w:asciiTheme="minorHAnsi" w:hAnsiTheme="minorHAnsi" w:cstheme="minorHAnsi"/>
            </w:rPr>
            <w:t>ate</w:t>
          </w:r>
          <w:r w:rsidR="008B20E1" w:rsidRPr="0013637A">
            <w:rPr>
              <w:rFonts w:asciiTheme="minorHAnsi" w:hAnsiTheme="minorHAnsi" w:cstheme="minorHAnsi"/>
            </w:rPr>
            <w:t xml:space="preserve">: </w:t>
          </w:r>
          <w:r w:rsidR="00AB7A15" w:rsidRPr="0013637A">
            <w:rPr>
              <w:rFonts w:asciiTheme="minorHAnsi" w:hAnsiTheme="minorHAnsi" w:cstheme="minorHAnsi"/>
            </w:rPr>
            <w:t>202</w:t>
          </w:r>
          <w:r w:rsidR="00FC1B93" w:rsidRPr="0013637A">
            <w:rPr>
              <w:rFonts w:asciiTheme="minorHAnsi" w:hAnsiTheme="minorHAnsi" w:cstheme="minorHAnsi"/>
            </w:rPr>
            <w:t>5</w:t>
          </w:r>
          <w:r w:rsidR="00D66CB4" w:rsidRPr="0013637A">
            <w:rPr>
              <w:rFonts w:asciiTheme="minorHAnsi" w:hAnsiTheme="minorHAnsi" w:cstheme="minorHAnsi"/>
            </w:rPr>
            <w:t>-</w:t>
          </w:r>
          <w:r w:rsidR="0013637A">
            <w:rPr>
              <w:rFonts w:asciiTheme="minorHAnsi" w:hAnsiTheme="minorHAnsi" w:cstheme="minorHAnsi"/>
            </w:rPr>
            <w:t>0</w:t>
          </w:r>
          <w:r w:rsidR="007D0BB4">
            <w:rPr>
              <w:rFonts w:asciiTheme="minorHAnsi" w:hAnsiTheme="minorHAnsi" w:cstheme="minorHAnsi"/>
            </w:rPr>
            <w:t>5</w:t>
          </w:r>
          <w:r w:rsidR="0013637A">
            <w:rPr>
              <w:rFonts w:asciiTheme="minorHAnsi" w:hAnsiTheme="minorHAnsi" w:cstheme="minorHAnsi"/>
            </w:rPr>
            <w:t>-</w:t>
          </w:r>
          <w:r w:rsidR="007D0BB4">
            <w:rPr>
              <w:rFonts w:asciiTheme="minorHAnsi" w:hAnsiTheme="minorHAnsi" w:cstheme="minorHAnsi"/>
            </w:rPr>
            <w:t>05</w:t>
          </w:r>
        </w:p>
      </w:tc>
      <w:tc>
        <w:tcPr>
          <w:tcW w:w="1553" w:type="dxa"/>
        </w:tcPr>
        <w:p w14:paraId="50B9D1AF" w14:textId="77777777" w:rsidR="009B5D1F" w:rsidRPr="00880FF6" w:rsidRDefault="00880FF6" w:rsidP="00AB38E2">
          <w:pPr>
            <w:pStyle w:val="Header"/>
            <w:jc w:val="right"/>
            <w:rPr>
              <w:rFonts w:asciiTheme="minorHAnsi" w:hAnsiTheme="minorHAnsi" w:cstheme="minorHAnsi"/>
              <w:noProof/>
            </w:rPr>
          </w:pPr>
          <w:r w:rsidRPr="00880FF6">
            <w:rPr>
              <w:rFonts w:asciiTheme="minorHAnsi" w:hAnsiTheme="minorHAnsi" w:cstheme="minorHAnsi"/>
            </w:rPr>
            <w:t xml:space="preserve">Page </w:t>
          </w:r>
          <w:r w:rsidRPr="00880FF6">
            <w:rPr>
              <w:rFonts w:asciiTheme="minorHAnsi" w:hAnsiTheme="minorHAnsi" w:cstheme="minorHAnsi"/>
              <w:b/>
              <w:bCs/>
            </w:rPr>
            <w:fldChar w:fldCharType="begin"/>
          </w:r>
          <w:r w:rsidRPr="00880FF6">
            <w:rPr>
              <w:rFonts w:asciiTheme="minorHAnsi" w:hAnsiTheme="minorHAnsi" w:cstheme="minorHAnsi"/>
              <w:b/>
              <w:bCs/>
            </w:rPr>
            <w:instrText xml:space="preserve"> PAGE  \* Arabic  \* MERGEFORMAT </w:instrText>
          </w:r>
          <w:r w:rsidRPr="00880FF6">
            <w:rPr>
              <w:rFonts w:asciiTheme="minorHAnsi" w:hAnsiTheme="minorHAnsi" w:cstheme="minorHAnsi"/>
              <w:b/>
              <w:bCs/>
            </w:rPr>
            <w:fldChar w:fldCharType="separate"/>
          </w:r>
          <w:r w:rsidRPr="00880FF6">
            <w:rPr>
              <w:rFonts w:asciiTheme="minorHAnsi" w:hAnsiTheme="minorHAnsi" w:cstheme="minorHAnsi"/>
              <w:b/>
              <w:bCs/>
              <w:noProof/>
            </w:rPr>
            <w:t>1</w:t>
          </w:r>
          <w:r w:rsidRPr="00880FF6">
            <w:rPr>
              <w:rFonts w:asciiTheme="minorHAnsi" w:hAnsiTheme="minorHAnsi" w:cstheme="minorHAnsi"/>
              <w:b/>
              <w:bCs/>
            </w:rPr>
            <w:fldChar w:fldCharType="end"/>
          </w:r>
          <w:r w:rsidRPr="00880FF6">
            <w:rPr>
              <w:rFonts w:asciiTheme="minorHAnsi" w:hAnsiTheme="minorHAnsi" w:cstheme="minorHAnsi"/>
            </w:rPr>
            <w:t xml:space="preserve"> of </w:t>
          </w:r>
          <w:r w:rsidRPr="00880FF6">
            <w:rPr>
              <w:rFonts w:asciiTheme="minorHAnsi" w:hAnsiTheme="minorHAnsi" w:cstheme="minorHAnsi"/>
              <w:b/>
              <w:bCs/>
            </w:rPr>
            <w:fldChar w:fldCharType="begin"/>
          </w:r>
          <w:r w:rsidRPr="00880FF6">
            <w:rPr>
              <w:rFonts w:asciiTheme="minorHAnsi" w:hAnsiTheme="minorHAnsi" w:cstheme="minorHAnsi"/>
              <w:b/>
              <w:bCs/>
            </w:rPr>
            <w:instrText xml:space="preserve"> NUMPAGES  \* Arabic  \* MERGEFORMAT </w:instrText>
          </w:r>
          <w:r w:rsidRPr="00880FF6">
            <w:rPr>
              <w:rFonts w:asciiTheme="minorHAnsi" w:hAnsiTheme="minorHAnsi" w:cstheme="minorHAnsi"/>
              <w:b/>
              <w:bCs/>
            </w:rPr>
            <w:fldChar w:fldCharType="separate"/>
          </w:r>
          <w:r w:rsidRPr="00880FF6">
            <w:rPr>
              <w:rFonts w:asciiTheme="minorHAnsi" w:hAnsiTheme="minorHAnsi" w:cstheme="minorHAnsi"/>
              <w:b/>
              <w:bCs/>
              <w:noProof/>
            </w:rPr>
            <w:t>2</w:t>
          </w:r>
          <w:r w:rsidRPr="00880FF6">
            <w:rPr>
              <w:rFonts w:asciiTheme="minorHAnsi" w:hAnsiTheme="minorHAnsi" w:cstheme="minorHAnsi"/>
              <w:b/>
              <w:bCs/>
            </w:rPr>
            <w:fldChar w:fldCharType="end"/>
          </w:r>
        </w:p>
        <w:p w14:paraId="6CCFFA16" w14:textId="77777777" w:rsidR="00DD7B3B" w:rsidRDefault="00DD7B3B" w:rsidP="00AB38E2">
          <w:pPr>
            <w:pStyle w:val="Header"/>
            <w:rPr>
              <w:rFonts w:asciiTheme="minorHAnsi" w:hAnsiTheme="minorHAnsi" w:cstheme="minorHAnsi"/>
            </w:rPr>
          </w:pPr>
        </w:p>
        <w:p w14:paraId="03AE09DC" w14:textId="0AA4CDEE" w:rsidR="009B5D1F" w:rsidRPr="00880FF6" w:rsidRDefault="008B20E1" w:rsidP="0013637A">
          <w:pPr>
            <w:pStyle w:val="Header"/>
            <w:rPr>
              <w:rFonts w:asciiTheme="minorHAnsi" w:hAnsiTheme="minorHAnsi" w:cstheme="minorHAnsi"/>
            </w:rPr>
          </w:pPr>
          <w:r w:rsidRPr="00880FF6">
            <w:rPr>
              <w:rFonts w:asciiTheme="minorHAnsi" w:hAnsiTheme="minorHAnsi" w:cstheme="minorHAnsi"/>
            </w:rPr>
            <w:t>Distribution:</w:t>
          </w:r>
          <w:r w:rsidR="0013637A">
            <w:rPr>
              <w:rFonts w:asciiTheme="minorHAnsi" w:hAnsiTheme="minorHAnsi" w:cstheme="minorHAnsi"/>
            </w:rPr>
            <w:t xml:space="preserve"> </w:t>
          </w:r>
          <w:r w:rsidR="00192949">
            <w:rPr>
              <w:rFonts w:asciiTheme="minorHAnsi" w:hAnsiTheme="minorHAnsi" w:cstheme="minorHAnsi"/>
            </w:rPr>
            <w:t>Public</w:t>
          </w:r>
        </w:p>
      </w:tc>
    </w:tr>
  </w:tbl>
  <w:p w14:paraId="577F4053" w14:textId="77777777" w:rsidR="009B5D1F" w:rsidRPr="00BF0093" w:rsidRDefault="00880FF6" w:rsidP="00AB38E2">
    <w:pPr>
      <w:pStyle w:val="Header"/>
    </w:pPr>
    <w:r>
      <w:rPr>
        <w:noProof/>
      </w:rPr>
      <w:drawing>
        <wp:anchor distT="0" distB="0" distL="114300" distR="114300" simplePos="0" relativeHeight="251685888" behindDoc="0" locked="0" layoutInCell="1" allowOverlap="1" wp14:anchorId="0765919E" wp14:editId="3CC0E857">
          <wp:simplePos x="0" y="0"/>
          <wp:positionH relativeFrom="column">
            <wp:posOffset>5530215</wp:posOffset>
          </wp:positionH>
          <wp:positionV relativeFrom="page">
            <wp:posOffset>123825</wp:posOffset>
          </wp:positionV>
          <wp:extent cx="598805" cy="25273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8805" cy="252730"/>
                  </a:xfrm>
                  <a:prstGeom prst="rect">
                    <a:avLst/>
                  </a:prstGeom>
                </pic:spPr>
              </pic:pic>
            </a:graphicData>
          </a:graphic>
          <wp14:sizeRelV relativeFrom="margin">
            <wp14:pctHeight>0</wp14:pctHeight>
          </wp14:sizeRelV>
        </wp:anchor>
      </w:drawing>
    </w:r>
  </w:p>
  <w:p w14:paraId="47D38738" w14:textId="77777777" w:rsidR="009B5D1F" w:rsidRDefault="009B5D1F" w:rsidP="00AB38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7AA4"/>
    <w:multiLevelType w:val="hybridMultilevel"/>
    <w:tmpl w:val="DAC68C2C"/>
    <w:lvl w:ilvl="0" w:tplc="625E3154">
      <w:start w:val="1"/>
      <w:numFmt w:val="decimal"/>
      <w:lvlText w:val="[RD %1]"/>
      <w:lvlJc w:val="left"/>
      <w:pPr>
        <w:ind w:left="624" w:hanging="62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1C4F1C"/>
    <w:multiLevelType w:val="multilevel"/>
    <w:tmpl w:val="C7CA446C"/>
    <w:styleLink w:val="CurrentList3"/>
    <w:lvl w:ilvl="0">
      <w:start w:val="1"/>
      <w:numFmt w:val="decimal"/>
      <w:lvlText w:val="RD %1:"/>
      <w:lvlJc w:val="left"/>
      <w:pPr>
        <w:ind w:left="624" w:hanging="624"/>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11A2752"/>
    <w:multiLevelType w:val="multilevel"/>
    <w:tmpl w:val="B204DD5E"/>
    <w:styleLink w:val="CurrentList4"/>
    <w:lvl w:ilvl="0">
      <w:start w:val="1"/>
      <w:numFmt w:val="decimal"/>
      <w:lvlText w:val="RD %1"/>
      <w:lvlJc w:val="left"/>
      <w:pPr>
        <w:ind w:left="624" w:hanging="624"/>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3E349A"/>
    <w:multiLevelType w:val="hybridMultilevel"/>
    <w:tmpl w:val="B1521484"/>
    <w:lvl w:ilvl="0" w:tplc="D8C6CF98">
      <w:start w:val="1"/>
      <w:numFmt w:val="bullet"/>
      <w:lvlText w:val=""/>
      <w:lvlJc w:val="left"/>
      <w:pPr>
        <w:ind w:left="720" w:hanging="360"/>
      </w:pPr>
      <w:rPr>
        <w:rFonts w:ascii="Symbol" w:eastAsia="MS Mincho"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744F9"/>
    <w:multiLevelType w:val="hybridMultilevel"/>
    <w:tmpl w:val="BB181EF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59C677E"/>
    <w:multiLevelType w:val="hybridMultilevel"/>
    <w:tmpl w:val="5892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37C62"/>
    <w:multiLevelType w:val="hybridMultilevel"/>
    <w:tmpl w:val="1900568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6EF514F"/>
    <w:multiLevelType w:val="multilevel"/>
    <w:tmpl w:val="6F464182"/>
    <w:styleLink w:val="CurrentList1"/>
    <w:lvl w:ilvl="0">
      <w:start w:val="1"/>
      <w:numFmt w:val="decimal"/>
      <w:lvlText w:val="RD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3D77733"/>
    <w:multiLevelType w:val="hybridMultilevel"/>
    <w:tmpl w:val="5B16CA54"/>
    <w:lvl w:ilvl="0" w:tplc="F00CBE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EC37073"/>
    <w:multiLevelType w:val="multilevel"/>
    <w:tmpl w:val="9A2CFD2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45021C"/>
    <w:multiLevelType w:val="multilevel"/>
    <w:tmpl w:val="B2B0B120"/>
    <w:styleLink w:val="CurrentList2"/>
    <w:lvl w:ilvl="0">
      <w:start w:val="1"/>
      <w:numFmt w:val="decimal"/>
      <w:lvlText w:val="RD %1:"/>
      <w:lvlJc w:val="left"/>
      <w:pPr>
        <w:ind w:left="567" w:hanging="20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12835723">
    <w:abstractNumId w:val="9"/>
  </w:num>
  <w:num w:numId="2" w16cid:durableId="578486865">
    <w:abstractNumId w:val="6"/>
  </w:num>
  <w:num w:numId="3" w16cid:durableId="255136604">
    <w:abstractNumId w:val="3"/>
  </w:num>
  <w:num w:numId="4" w16cid:durableId="1600062142">
    <w:abstractNumId w:val="4"/>
  </w:num>
  <w:num w:numId="5" w16cid:durableId="1525434960">
    <w:abstractNumId w:val="8"/>
  </w:num>
  <w:num w:numId="6" w16cid:durableId="1447232373">
    <w:abstractNumId w:val="9"/>
  </w:num>
  <w:num w:numId="7" w16cid:durableId="513501131">
    <w:abstractNumId w:val="5"/>
  </w:num>
  <w:num w:numId="8" w16cid:durableId="641616217">
    <w:abstractNumId w:val="0"/>
  </w:num>
  <w:num w:numId="9" w16cid:durableId="405537358">
    <w:abstractNumId w:val="7"/>
  </w:num>
  <w:num w:numId="10" w16cid:durableId="717708739">
    <w:abstractNumId w:val="10"/>
  </w:num>
  <w:num w:numId="11" w16cid:durableId="845050509">
    <w:abstractNumId w:val="1"/>
  </w:num>
  <w:num w:numId="12" w16cid:durableId="898982488">
    <w:abstractNumId w:val="2"/>
  </w:num>
  <w:num w:numId="13" w16cid:durableId="239601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0580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6330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1039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revisionView w:markup="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C1"/>
    <w:rsid w:val="000017F6"/>
    <w:rsid w:val="00003C5C"/>
    <w:rsid w:val="00011059"/>
    <w:rsid w:val="000110F4"/>
    <w:rsid w:val="00012625"/>
    <w:rsid w:val="000135B4"/>
    <w:rsid w:val="00015EF8"/>
    <w:rsid w:val="00025451"/>
    <w:rsid w:val="00027AB3"/>
    <w:rsid w:val="00027E23"/>
    <w:rsid w:val="00030453"/>
    <w:rsid w:val="00033BC5"/>
    <w:rsid w:val="0003438E"/>
    <w:rsid w:val="00040807"/>
    <w:rsid w:val="00041A96"/>
    <w:rsid w:val="00041E58"/>
    <w:rsid w:val="000433F6"/>
    <w:rsid w:val="000443A4"/>
    <w:rsid w:val="00045A3E"/>
    <w:rsid w:val="00046CF4"/>
    <w:rsid w:val="000527C3"/>
    <w:rsid w:val="00052D9F"/>
    <w:rsid w:val="00054857"/>
    <w:rsid w:val="0005661D"/>
    <w:rsid w:val="000607CB"/>
    <w:rsid w:val="00060F08"/>
    <w:rsid w:val="0006161D"/>
    <w:rsid w:val="00062BA3"/>
    <w:rsid w:val="000656BC"/>
    <w:rsid w:val="000676FD"/>
    <w:rsid w:val="000724B6"/>
    <w:rsid w:val="00077958"/>
    <w:rsid w:val="0008216E"/>
    <w:rsid w:val="00086375"/>
    <w:rsid w:val="00097346"/>
    <w:rsid w:val="000A02AC"/>
    <w:rsid w:val="000A046E"/>
    <w:rsid w:val="000A20D3"/>
    <w:rsid w:val="000A6CA3"/>
    <w:rsid w:val="000B1200"/>
    <w:rsid w:val="000D0499"/>
    <w:rsid w:val="000D4431"/>
    <w:rsid w:val="000D5A8E"/>
    <w:rsid w:val="000D649A"/>
    <w:rsid w:val="000E3301"/>
    <w:rsid w:val="000E7CAE"/>
    <w:rsid w:val="000F01B0"/>
    <w:rsid w:val="000F0C3E"/>
    <w:rsid w:val="000F1873"/>
    <w:rsid w:val="000F50F4"/>
    <w:rsid w:val="000F643F"/>
    <w:rsid w:val="000F79BC"/>
    <w:rsid w:val="00100C44"/>
    <w:rsid w:val="00102CE1"/>
    <w:rsid w:val="00102DC2"/>
    <w:rsid w:val="001042FC"/>
    <w:rsid w:val="001100E0"/>
    <w:rsid w:val="00111DA3"/>
    <w:rsid w:val="00120673"/>
    <w:rsid w:val="00134C92"/>
    <w:rsid w:val="00135051"/>
    <w:rsid w:val="0013598D"/>
    <w:rsid w:val="0013637A"/>
    <w:rsid w:val="001371B5"/>
    <w:rsid w:val="001448B8"/>
    <w:rsid w:val="0014519B"/>
    <w:rsid w:val="00146E76"/>
    <w:rsid w:val="00154F3A"/>
    <w:rsid w:val="00161EB7"/>
    <w:rsid w:val="00161FAF"/>
    <w:rsid w:val="0016372D"/>
    <w:rsid w:val="001642B2"/>
    <w:rsid w:val="00167209"/>
    <w:rsid w:val="001719B6"/>
    <w:rsid w:val="00171DC3"/>
    <w:rsid w:val="001775E1"/>
    <w:rsid w:val="001776DB"/>
    <w:rsid w:val="001817D2"/>
    <w:rsid w:val="00192949"/>
    <w:rsid w:val="00193D69"/>
    <w:rsid w:val="00195395"/>
    <w:rsid w:val="001972B0"/>
    <w:rsid w:val="00197A52"/>
    <w:rsid w:val="001A054C"/>
    <w:rsid w:val="001A739E"/>
    <w:rsid w:val="001B0CDC"/>
    <w:rsid w:val="001B4C57"/>
    <w:rsid w:val="001B69D9"/>
    <w:rsid w:val="001B7E38"/>
    <w:rsid w:val="001C13EF"/>
    <w:rsid w:val="001C209C"/>
    <w:rsid w:val="001C60D9"/>
    <w:rsid w:val="001C67A4"/>
    <w:rsid w:val="001D0055"/>
    <w:rsid w:val="001D11C4"/>
    <w:rsid w:val="001D6E3F"/>
    <w:rsid w:val="001E0C24"/>
    <w:rsid w:val="001E29E3"/>
    <w:rsid w:val="001F3BE1"/>
    <w:rsid w:val="001F485F"/>
    <w:rsid w:val="001F48B5"/>
    <w:rsid w:val="001F6F7A"/>
    <w:rsid w:val="00200B7C"/>
    <w:rsid w:val="00200DF7"/>
    <w:rsid w:val="002035C2"/>
    <w:rsid w:val="00215732"/>
    <w:rsid w:val="00221B90"/>
    <w:rsid w:val="00225CD9"/>
    <w:rsid w:val="00225FF7"/>
    <w:rsid w:val="002277CD"/>
    <w:rsid w:val="002308B6"/>
    <w:rsid w:val="002343C4"/>
    <w:rsid w:val="0023682F"/>
    <w:rsid w:val="00237394"/>
    <w:rsid w:val="00237944"/>
    <w:rsid w:val="00237DDA"/>
    <w:rsid w:val="002414C2"/>
    <w:rsid w:val="00243B74"/>
    <w:rsid w:val="00243C1B"/>
    <w:rsid w:val="00244422"/>
    <w:rsid w:val="0025114D"/>
    <w:rsid w:val="0025428B"/>
    <w:rsid w:val="002577E0"/>
    <w:rsid w:val="00260268"/>
    <w:rsid w:val="00262DC8"/>
    <w:rsid w:val="002665D2"/>
    <w:rsid w:val="00274453"/>
    <w:rsid w:val="002834A2"/>
    <w:rsid w:val="00284CBA"/>
    <w:rsid w:val="0029280D"/>
    <w:rsid w:val="00293937"/>
    <w:rsid w:val="0029431D"/>
    <w:rsid w:val="002A2A32"/>
    <w:rsid w:val="002B1103"/>
    <w:rsid w:val="002B499A"/>
    <w:rsid w:val="002B6B5C"/>
    <w:rsid w:val="002C4937"/>
    <w:rsid w:val="002D0B23"/>
    <w:rsid w:val="002D49F5"/>
    <w:rsid w:val="002D7608"/>
    <w:rsid w:val="002E1E63"/>
    <w:rsid w:val="002E2F95"/>
    <w:rsid w:val="002F0676"/>
    <w:rsid w:val="002F122A"/>
    <w:rsid w:val="002F4315"/>
    <w:rsid w:val="002F4B93"/>
    <w:rsid w:val="002F4CE4"/>
    <w:rsid w:val="002F4EC5"/>
    <w:rsid w:val="0030203B"/>
    <w:rsid w:val="00302755"/>
    <w:rsid w:val="00303E74"/>
    <w:rsid w:val="00306156"/>
    <w:rsid w:val="003068B2"/>
    <w:rsid w:val="0031202F"/>
    <w:rsid w:val="00312C5F"/>
    <w:rsid w:val="00314C7C"/>
    <w:rsid w:val="00326A9D"/>
    <w:rsid w:val="0033377F"/>
    <w:rsid w:val="003448EB"/>
    <w:rsid w:val="0034666B"/>
    <w:rsid w:val="003478EB"/>
    <w:rsid w:val="00352DA1"/>
    <w:rsid w:val="00357EB3"/>
    <w:rsid w:val="00360BD6"/>
    <w:rsid w:val="00361F86"/>
    <w:rsid w:val="00362086"/>
    <w:rsid w:val="003651E3"/>
    <w:rsid w:val="003669C3"/>
    <w:rsid w:val="0036732A"/>
    <w:rsid w:val="00370B83"/>
    <w:rsid w:val="003841A0"/>
    <w:rsid w:val="00386692"/>
    <w:rsid w:val="003866F1"/>
    <w:rsid w:val="003920E5"/>
    <w:rsid w:val="003943F4"/>
    <w:rsid w:val="003944B8"/>
    <w:rsid w:val="00395208"/>
    <w:rsid w:val="003A08ED"/>
    <w:rsid w:val="003A3AF7"/>
    <w:rsid w:val="003A4DA5"/>
    <w:rsid w:val="003A74D5"/>
    <w:rsid w:val="003B504F"/>
    <w:rsid w:val="003B56C5"/>
    <w:rsid w:val="003C1E5C"/>
    <w:rsid w:val="003D194A"/>
    <w:rsid w:val="003D1FE1"/>
    <w:rsid w:val="003D2E1F"/>
    <w:rsid w:val="003D34FB"/>
    <w:rsid w:val="003D3E36"/>
    <w:rsid w:val="003D5AF3"/>
    <w:rsid w:val="003D6F9B"/>
    <w:rsid w:val="003E1801"/>
    <w:rsid w:val="003E3723"/>
    <w:rsid w:val="003E5CA1"/>
    <w:rsid w:val="003E727E"/>
    <w:rsid w:val="003E7503"/>
    <w:rsid w:val="003E7946"/>
    <w:rsid w:val="003F123A"/>
    <w:rsid w:val="003F24E5"/>
    <w:rsid w:val="003F3EB0"/>
    <w:rsid w:val="003F71A5"/>
    <w:rsid w:val="004113BB"/>
    <w:rsid w:val="004113D2"/>
    <w:rsid w:val="00412C8E"/>
    <w:rsid w:val="00414279"/>
    <w:rsid w:val="004160EC"/>
    <w:rsid w:val="00420CE0"/>
    <w:rsid w:val="004216B8"/>
    <w:rsid w:val="004223FF"/>
    <w:rsid w:val="00422E62"/>
    <w:rsid w:val="0042401E"/>
    <w:rsid w:val="0042481C"/>
    <w:rsid w:val="004306C9"/>
    <w:rsid w:val="00430F0E"/>
    <w:rsid w:val="004312A2"/>
    <w:rsid w:val="004325C1"/>
    <w:rsid w:val="0043263D"/>
    <w:rsid w:val="004428FD"/>
    <w:rsid w:val="00442965"/>
    <w:rsid w:val="00445B46"/>
    <w:rsid w:val="00445CFA"/>
    <w:rsid w:val="004462F7"/>
    <w:rsid w:val="00447123"/>
    <w:rsid w:val="00455550"/>
    <w:rsid w:val="004618EA"/>
    <w:rsid w:val="00463047"/>
    <w:rsid w:val="0046383F"/>
    <w:rsid w:val="00480A76"/>
    <w:rsid w:val="00484DD9"/>
    <w:rsid w:val="00492366"/>
    <w:rsid w:val="00492772"/>
    <w:rsid w:val="00492D74"/>
    <w:rsid w:val="00492E45"/>
    <w:rsid w:val="004933C1"/>
    <w:rsid w:val="00496009"/>
    <w:rsid w:val="004A14E6"/>
    <w:rsid w:val="004A5CE9"/>
    <w:rsid w:val="004B33E4"/>
    <w:rsid w:val="004B7557"/>
    <w:rsid w:val="004C4B28"/>
    <w:rsid w:val="004C5DCF"/>
    <w:rsid w:val="004C7908"/>
    <w:rsid w:val="004D0843"/>
    <w:rsid w:val="004E19CD"/>
    <w:rsid w:val="004E2012"/>
    <w:rsid w:val="004F4250"/>
    <w:rsid w:val="004F690D"/>
    <w:rsid w:val="00504653"/>
    <w:rsid w:val="00510A97"/>
    <w:rsid w:val="00511063"/>
    <w:rsid w:val="00512395"/>
    <w:rsid w:val="00516A37"/>
    <w:rsid w:val="00516D18"/>
    <w:rsid w:val="0052046F"/>
    <w:rsid w:val="00520476"/>
    <w:rsid w:val="0052291D"/>
    <w:rsid w:val="00525693"/>
    <w:rsid w:val="00526903"/>
    <w:rsid w:val="0052692D"/>
    <w:rsid w:val="005320F5"/>
    <w:rsid w:val="00536D5F"/>
    <w:rsid w:val="00537674"/>
    <w:rsid w:val="005415F1"/>
    <w:rsid w:val="005419D6"/>
    <w:rsid w:val="00541AC1"/>
    <w:rsid w:val="005450B0"/>
    <w:rsid w:val="00545150"/>
    <w:rsid w:val="00547235"/>
    <w:rsid w:val="00553CF4"/>
    <w:rsid w:val="00554192"/>
    <w:rsid w:val="00560965"/>
    <w:rsid w:val="00560C86"/>
    <w:rsid w:val="00564848"/>
    <w:rsid w:val="00566492"/>
    <w:rsid w:val="00574E44"/>
    <w:rsid w:val="00581B54"/>
    <w:rsid w:val="00583175"/>
    <w:rsid w:val="00583792"/>
    <w:rsid w:val="005838E2"/>
    <w:rsid w:val="00587AC4"/>
    <w:rsid w:val="00587FFB"/>
    <w:rsid w:val="00596393"/>
    <w:rsid w:val="005970CF"/>
    <w:rsid w:val="005A775C"/>
    <w:rsid w:val="005B5F18"/>
    <w:rsid w:val="005B606F"/>
    <w:rsid w:val="005C3549"/>
    <w:rsid w:val="005C4ACF"/>
    <w:rsid w:val="005D2783"/>
    <w:rsid w:val="005D53D2"/>
    <w:rsid w:val="005D5F82"/>
    <w:rsid w:val="005E7D27"/>
    <w:rsid w:val="005F0AFB"/>
    <w:rsid w:val="005F531D"/>
    <w:rsid w:val="005F7663"/>
    <w:rsid w:val="00605164"/>
    <w:rsid w:val="00606D81"/>
    <w:rsid w:val="00610676"/>
    <w:rsid w:val="00611FB1"/>
    <w:rsid w:val="00612A0A"/>
    <w:rsid w:val="00614087"/>
    <w:rsid w:val="00617055"/>
    <w:rsid w:val="0062547D"/>
    <w:rsid w:val="00625919"/>
    <w:rsid w:val="006324BC"/>
    <w:rsid w:val="00632528"/>
    <w:rsid w:val="00634876"/>
    <w:rsid w:val="00637C29"/>
    <w:rsid w:val="006504F3"/>
    <w:rsid w:val="00650EE3"/>
    <w:rsid w:val="006510EE"/>
    <w:rsid w:val="0065152C"/>
    <w:rsid w:val="0065159A"/>
    <w:rsid w:val="00654256"/>
    <w:rsid w:val="006566FC"/>
    <w:rsid w:val="00656EEF"/>
    <w:rsid w:val="0065769D"/>
    <w:rsid w:val="00657779"/>
    <w:rsid w:val="00663017"/>
    <w:rsid w:val="00663BD4"/>
    <w:rsid w:val="00664628"/>
    <w:rsid w:val="006673D3"/>
    <w:rsid w:val="00671495"/>
    <w:rsid w:val="006751B4"/>
    <w:rsid w:val="0068184D"/>
    <w:rsid w:val="00691E8F"/>
    <w:rsid w:val="00692C83"/>
    <w:rsid w:val="0069513E"/>
    <w:rsid w:val="00695EAA"/>
    <w:rsid w:val="006A454C"/>
    <w:rsid w:val="006A5E3F"/>
    <w:rsid w:val="006A7A42"/>
    <w:rsid w:val="006B7C19"/>
    <w:rsid w:val="006C4414"/>
    <w:rsid w:val="006C5EFC"/>
    <w:rsid w:val="006C64C7"/>
    <w:rsid w:val="006D411F"/>
    <w:rsid w:val="006D6180"/>
    <w:rsid w:val="006E0C5D"/>
    <w:rsid w:val="006E79B5"/>
    <w:rsid w:val="006F245D"/>
    <w:rsid w:val="006F5C19"/>
    <w:rsid w:val="006F7BB3"/>
    <w:rsid w:val="00705C4F"/>
    <w:rsid w:val="00706ADC"/>
    <w:rsid w:val="007078C7"/>
    <w:rsid w:val="00710DA9"/>
    <w:rsid w:val="00720777"/>
    <w:rsid w:val="0072100C"/>
    <w:rsid w:val="00740C62"/>
    <w:rsid w:val="00742406"/>
    <w:rsid w:val="00742D28"/>
    <w:rsid w:val="00743B52"/>
    <w:rsid w:val="00744943"/>
    <w:rsid w:val="00752ACF"/>
    <w:rsid w:val="00757389"/>
    <w:rsid w:val="00757C26"/>
    <w:rsid w:val="0076248E"/>
    <w:rsid w:val="00763956"/>
    <w:rsid w:val="00767F04"/>
    <w:rsid w:val="00772BF7"/>
    <w:rsid w:val="007745B0"/>
    <w:rsid w:val="00776760"/>
    <w:rsid w:val="00777179"/>
    <w:rsid w:val="007828EF"/>
    <w:rsid w:val="00792949"/>
    <w:rsid w:val="007933C3"/>
    <w:rsid w:val="007950A7"/>
    <w:rsid w:val="00795D41"/>
    <w:rsid w:val="00795F56"/>
    <w:rsid w:val="007A2A79"/>
    <w:rsid w:val="007A69BE"/>
    <w:rsid w:val="007A6B71"/>
    <w:rsid w:val="007B05D3"/>
    <w:rsid w:val="007B0B60"/>
    <w:rsid w:val="007B2A3B"/>
    <w:rsid w:val="007B3B6E"/>
    <w:rsid w:val="007B7B66"/>
    <w:rsid w:val="007C167B"/>
    <w:rsid w:val="007C1A60"/>
    <w:rsid w:val="007C21B3"/>
    <w:rsid w:val="007C66A0"/>
    <w:rsid w:val="007D0BB4"/>
    <w:rsid w:val="007D0F08"/>
    <w:rsid w:val="007D2E97"/>
    <w:rsid w:val="007D3F2A"/>
    <w:rsid w:val="007D51D9"/>
    <w:rsid w:val="007D77D8"/>
    <w:rsid w:val="007F1E94"/>
    <w:rsid w:val="007F4DE2"/>
    <w:rsid w:val="0080751F"/>
    <w:rsid w:val="00814189"/>
    <w:rsid w:val="0081793B"/>
    <w:rsid w:val="00817B60"/>
    <w:rsid w:val="008216FE"/>
    <w:rsid w:val="0082341E"/>
    <w:rsid w:val="00823CC1"/>
    <w:rsid w:val="00826C09"/>
    <w:rsid w:val="00827C6C"/>
    <w:rsid w:val="00833190"/>
    <w:rsid w:val="00833632"/>
    <w:rsid w:val="008339E2"/>
    <w:rsid w:val="008365FC"/>
    <w:rsid w:val="00846DBF"/>
    <w:rsid w:val="00847700"/>
    <w:rsid w:val="00853552"/>
    <w:rsid w:val="008605D0"/>
    <w:rsid w:val="00867427"/>
    <w:rsid w:val="00880B64"/>
    <w:rsid w:val="00880FF6"/>
    <w:rsid w:val="0088246C"/>
    <w:rsid w:val="008866B3"/>
    <w:rsid w:val="00890B70"/>
    <w:rsid w:val="0089201F"/>
    <w:rsid w:val="008921B2"/>
    <w:rsid w:val="00897DBE"/>
    <w:rsid w:val="008A13D8"/>
    <w:rsid w:val="008A4197"/>
    <w:rsid w:val="008A7BEF"/>
    <w:rsid w:val="008A7D25"/>
    <w:rsid w:val="008B20E1"/>
    <w:rsid w:val="008B4AA8"/>
    <w:rsid w:val="008C020F"/>
    <w:rsid w:val="008C27A4"/>
    <w:rsid w:val="008C2F5B"/>
    <w:rsid w:val="008C519E"/>
    <w:rsid w:val="008C6BA5"/>
    <w:rsid w:val="008D29C7"/>
    <w:rsid w:val="008E3F77"/>
    <w:rsid w:val="008E4F65"/>
    <w:rsid w:val="008E52AB"/>
    <w:rsid w:val="008E599D"/>
    <w:rsid w:val="008E7793"/>
    <w:rsid w:val="008F1D00"/>
    <w:rsid w:val="008F2047"/>
    <w:rsid w:val="008F4014"/>
    <w:rsid w:val="008F771B"/>
    <w:rsid w:val="00910AC4"/>
    <w:rsid w:val="00910D96"/>
    <w:rsid w:val="00913F62"/>
    <w:rsid w:val="00921D03"/>
    <w:rsid w:val="009304C4"/>
    <w:rsid w:val="0093294E"/>
    <w:rsid w:val="009339AB"/>
    <w:rsid w:val="00933CF5"/>
    <w:rsid w:val="00951FF1"/>
    <w:rsid w:val="009573D2"/>
    <w:rsid w:val="009674D9"/>
    <w:rsid w:val="00984FDD"/>
    <w:rsid w:val="009850AD"/>
    <w:rsid w:val="009855B6"/>
    <w:rsid w:val="00993055"/>
    <w:rsid w:val="0099491A"/>
    <w:rsid w:val="009973E4"/>
    <w:rsid w:val="009A41E4"/>
    <w:rsid w:val="009A4F81"/>
    <w:rsid w:val="009A7D4E"/>
    <w:rsid w:val="009B2C08"/>
    <w:rsid w:val="009B4E48"/>
    <w:rsid w:val="009B5D1F"/>
    <w:rsid w:val="009B7007"/>
    <w:rsid w:val="009C5C64"/>
    <w:rsid w:val="009D3366"/>
    <w:rsid w:val="009D578E"/>
    <w:rsid w:val="009E0A82"/>
    <w:rsid w:val="009E36D5"/>
    <w:rsid w:val="009E4795"/>
    <w:rsid w:val="009E6CE9"/>
    <w:rsid w:val="009E7B5D"/>
    <w:rsid w:val="009F1C92"/>
    <w:rsid w:val="009F31FE"/>
    <w:rsid w:val="009F3FE0"/>
    <w:rsid w:val="009F5BA2"/>
    <w:rsid w:val="009F7721"/>
    <w:rsid w:val="00A002CA"/>
    <w:rsid w:val="00A05080"/>
    <w:rsid w:val="00A10A99"/>
    <w:rsid w:val="00A14C55"/>
    <w:rsid w:val="00A16608"/>
    <w:rsid w:val="00A2371C"/>
    <w:rsid w:val="00A261CA"/>
    <w:rsid w:val="00A333E8"/>
    <w:rsid w:val="00A336BC"/>
    <w:rsid w:val="00A33D5D"/>
    <w:rsid w:val="00A353A1"/>
    <w:rsid w:val="00A37763"/>
    <w:rsid w:val="00A42918"/>
    <w:rsid w:val="00A42D82"/>
    <w:rsid w:val="00A462F1"/>
    <w:rsid w:val="00A470FE"/>
    <w:rsid w:val="00A528D7"/>
    <w:rsid w:val="00A543F0"/>
    <w:rsid w:val="00A56CC4"/>
    <w:rsid w:val="00A5798A"/>
    <w:rsid w:val="00A57AA0"/>
    <w:rsid w:val="00A60668"/>
    <w:rsid w:val="00A60B62"/>
    <w:rsid w:val="00A612B4"/>
    <w:rsid w:val="00A65642"/>
    <w:rsid w:val="00A720FE"/>
    <w:rsid w:val="00A7379E"/>
    <w:rsid w:val="00A9235B"/>
    <w:rsid w:val="00A92C5D"/>
    <w:rsid w:val="00A971DF"/>
    <w:rsid w:val="00AA087C"/>
    <w:rsid w:val="00AA2B6F"/>
    <w:rsid w:val="00AB7A15"/>
    <w:rsid w:val="00AC11B5"/>
    <w:rsid w:val="00AC2E91"/>
    <w:rsid w:val="00AC4377"/>
    <w:rsid w:val="00AC52DD"/>
    <w:rsid w:val="00AC6F5F"/>
    <w:rsid w:val="00AD23E4"/>
    <w:rsid w:val="00AD2490"/>
    <w:rsid w:val="00AD6D23"/>
    <w:rsid w:val="00AD751F"/>
    <w:rsid w:val="00AE0786"/>
    <w:rsid w:val="00AE0B64"/>
    <w:rsid w:val="00AE4423"/>
    <w:rsid w:val="00AE4499"/>
    <w:rsid w:val="00AE4913"/>
    <w:rsid w:val="00AE596E"/>
    <w:rsid w:val="00AE78D3"/>
    <w:rsid w:val="00AF0221"/>
    <w:rsid w:val="00AF69A0"/>
    <w:rsid w:val="00B00E5A"/>
    <w:rsid w:val="00B106DC"/>
    <w:rsid w:val="00B1149C"/>
    <w:rsid w:val="00B1271D"/>
    <w:rsid w:val="00B168AB"/>
    <w:rsid w:val="00B24A38"/>
    <w:rsid w:val="00B33A6C"/>
    <w:rsid w:val="00B427BB"/>
    <w:rsid w:val="00B42F42"/>
    <w:rsid w:val="00B438DB"/>
    <w:rsid w:val="00B50C51"/>
    <w:rsid w:val="00B53238"/>
    <w:rsid w:val="00B5359E"/>
    <w:rsid w:val="00B567CA"/>
    <w:rsid w:val="00B6208F"/>
    <w:rsid w:val="00B63F69"/>
    <w:rsid w:val="00B74543"/>
    <w:rsid w:val="00B77091"/>
    <w:rsid w:val="00B7772D"/>
    <w:rsid w:val="00B808FE"/>
    <w:rsid w:val="00B822EF"/>
    <w:rsid w:val="00B84A8C"/>
    <w:rsid w:val="00B84F0E"/>
    <w:rsid w:val="00B850C1"/>
    <w:rsid w:val="00B8719C"/>
    <w:rsid w:val="00B924C0"/>
    <w:rsid w:val="00B935D0"/>
    <w:rsid w:val="00B936E8"/>
    <w:rsid w:val="00B943E5"/>
    <w:rsid w:val="00B94DD7"/>
    <w:rsid w:val="00BA0593"/>
    <w:rsid w:val="00BA5B94"/>
    <w:rsid w:val="00BB2A19"/>
    <w:rsid w:val="00BB401C"/>
    <w:rsid w:val="00BB5DCA"/>
    <w:rsid w:val="00BB6022"/>
    <w:rsid w:val="00BC1EA7"/>
    <w:rsid w:val="00BC7BCF"/>
    <w:rsid w:val="00BD4CE9"/>
    <w:rsid w:val="00BD5297"/>
    <w:rsid w:val="00BD54B4"/>
    <w:rsid w:val="00BD7808"/>
    <w:rsid w:val="00BE1DDE"/>
    <w:rsid w:val="00BE2668"/>
    <w:rsid w:val="00BE2F6A"/>
    <w:rsid w:val="00BE37D7"/>
    <w:rsid w:val="00BE461B"/>
    <w:rsid w:val="00BE489A"/>
    <w:rsid w:val="00BE4980"/>
    <w:rsid w:val="00BF0E66"/>
    <w:rsid w:val="00BF175C"/>
    <w:rsid w:val="00BF1AEA"/>
    <w:rsid w:val="00BF4764"/>
    <w:rsid w:val="00BF7856"/>
    <w:rsid w:val="00C04A00"/>
    <w:rsid w:val="00C04BEA"/>
    <w:rsid w:val="00C10786"/>
    <w:rsid w:val="00C14F8E"/>
    <w:rsid w:val="00C23367"/>
    <w:rsid w:val="00C234C8"/>
    <w:rsid w:val="00C24CB1"/>
    <w:rsid w:val="00C32458"/>
    <w:rsid w:val="00C32B44"/>
    <w:rsid w:val="00C40FC1"/>
    <w:rsid w:val="00C42DBB"/>
    <w:rsid w:val="00C45C51"/>
    <w:rsid w:val="00C45E22"/>
    <w:rsid w:val="00C45ECA"/>
    <w:rsid w:val="00C47E40"/>
    <w:rsid w:val="00C536FA"/>
    <w:rsid w:val="00C53DEC"/>
    <w:rsid w:val="00C5722A"/>
    <w:rsid w:val="00C60535"/>
    <w:rsid w:val="00C66529"/>
    <w:rsid w:val="00C75A22"/>
    <w:rsid w:val="00C818BD"/>
    <w:rsid w:val="00C853D4"/>
    <w:rsid w:val="00C87643"/>
    <w:rsid w:val="00C90B4C"/>
    <w:rsid w:val="00C97FCD"/>
    <w:rsid w:val="00CA0DF4"/>
    <w:rsid w:val="00CA4224"/>
    <w:rsid w:val="00CA7485"/>
    <w:rsid w:val="00CA78C8"/>
    <w:rsid w:val="00CA7964"/>
    <w:rsid w:val="00CB2DF2"/>
    <w:rsid w:val="00CB4723"/>
    <w:rsid w:val="00CB54CF"/>
    <w:rsid w:val="00CB6D93"/>
    <w:rsid w:val="00CC0BF9"/>
    <w:rsid w:val="00CC1F2E"/>
    <w:rsid w:val="00CC4AEE"/>
    <w:rsid w:val="00CC5D3B"/>
    <w:rsid w:val="00CC5E97"/>
    <w:rsid w:val="00CC667D"/>
    <w:rsid w:val="00CC7279"/>
    <w:rsid w:val="00CC7E8D"/>
    <w:rsid w:val="00CC7F67"/>
    <w:rsid w:val="00CD27E1"/>
    <w:rsid w:val="00CD485D"/>
    <w:rsid w:val="00CD4F08"/>
    <w:rsid w:val="00CE5EBC"/>
    <w:rsid w:val="00CF1965"/>
    <w:rsid w:val="00CF53B8"/>
    <w:rsid w:val="00D004AD"/>
    <w:rsid w:val="00D0457F"/>
    <w:rsid w:val="00D06F82"/>
    <w:rsid w:val="00D07516"/>
    <w:rsid w:val="00D21BAA"/>
    <w:rsid w:val="00D23C55"/>
    <w:rsid w:val="00D24793"/>
    <w:rsid w:val="00D2526D"/>
    <w:rsid w:val="00D257A7"/>
    <w:rsid w:val="00D2740B"/>
    <w:rsid w:val="00D31539"/>
    <w:rsid w:val="00D324CE"/>
    <w:rsid w:val="00D33184"/>
    <w:rsid w:val="00D4530B"/>
    <w:rsid w:val="00D45E6B"/>
    <w:rsid w:val="00D50952"/>
    <w:rsid w:val="00D52953"/>
    <w:rsid w:val="00D53143"/>
    <w:rsid w:val="00D54C10"/>
    <w:rsid w:val="00D61277"/>
    <w:rsid w:val="00D62A0C"/>
    <w:rsid w:val="00D63F8D"/>
    <w:rsid w:val="00D66CB4"/>
    <w:rsid w:val="00D66DAF"/>
    <w:rsid w:val="00D72267"/>
    <w:rsid w:val="00D734BC"/>
    <w:rsid w:val="00D77E10"/>
    <w:rsid w:val="00D815AA"/>
    <w:rsid w:val="00D82DE1"/>
    <w:rsid w:val="00D842A8"/>
    <w:rsid w:val="00D8480E"/>
    <w:rsid w:val="00D84FC4"/>
    <w:rsid w:val="00D904B9"/>
    <w:rsid w:val="00D904D4"/>
    <w:rsid w:val="00D91A5A"/>
    <w:rsid w:val="00D95498"/>
    <w:rsid w:val="00D956D2"/>
    <w:rsid w:val="00D95E35"/>
    <w:rsid w:val="00DB1B35"/>
    <w:rsid w:val="00DB5234"/>
    <w:rsid w:val="00DB748E"/>
    <w:rsid w:val="00DC75BB"/>
    <w:rsid w:val="00DD27F0"/>
    <w:rsid w:val="00DD7B3B"/>
    <w:rsid w:val="00DE21CF"/>
    <w:rsid w:val="00DE63E3"/>
    <w:rsid w:val="00DE64BD"/>
    <w:rsid w:val="00DE75F3"/>
    <w:rsid w:val="00DF0C5A"/>
    <w:rsid w:val="00DF4BFA"/>
    <w:rsid w:val="00DF77BE"/>
    <w:rsid w:val="00E00614"/>
    <w:rsid w:val="00E00784"/>
    <w:rsid w:val="00E10B9E"/>
    <w:rsid w:val="00E16718"/>
    <w:rsid w:val="00E17826"/>
    <w:rsid w:val="00E20779"/>
    <w:rsid w:val="00E247DD"/>
    <w:rsid w:val="00E30D5F"/>
    <w:rsid w:val="00E30FD5"/>
    <w:rsid w:val="00E316C2"/>
    <w:rsid w:val="00E32C27"/>
    <w:rsid w:val="00E407C0"/>
    <w:rsid w:val="00E454CC"/>
    <w:rsid w:val="00E4679D"/>
    <w:rsid w:val="00E46895"/>
    <w:rsid w:val="00E4689B"/>
    <w:rsid w:val="00E519AF"/>
    <w:rsid w:val="00E51B5D"/>
    <w:rsid w:val="00E51B92"/>
    <w:rsid w:val="00E5247C"/>
    <w:rsid w:val="00E53371"/>
    <w:rsid w:val="00E53F16"/>
    <w:rsid w:val="00E551BA"/>
    <w:rsid w:val="00E56419"/>
    <w:rsid w:val="00E57A71"/>
    <w:rsid w:val="00E6261E"/>
    <w:rsid w:val="00E71D9A"/>
    <w:rsid w:val="00E73B11"/>
    <w:rsid w:val="00E76BDD"/>
    <w:rsid w:val="00E854F7"/>
    <w:rsid w:val="00E85AF1"/>
    <w:rsid w:val="00E85AF5"/>
    <w:rsid w:val="00E86114"/>
    <w:rsid w:val="00E9374E"/>
    <w:rsid w:val="00EA3D92"/>
    <w:rsid w:val="00EA4EF3"/>
    <w:rsid w:val="00EB00F3"/>
    <w:rsid w:val="00EB2B3A"/>
    <w:rsid w:val="00EB419A"/>
    <w:rsid w:val="00EC171C"/>
    <w:rsid w:val="00EC35E2"/>
    <w:rsid w:val="00EC4D32"/>
    <w:rsid w:val="00EC7F16"/>
    <w:rsid w:val="00EE0100"/>
    <w:rsid w:val="00EF4E00"/>
    <w:rsid w:val="00F00BE3"/>
    <w:rsid w:val="00F04262"/>
    <w:rsid w:val="00F063A4"/>
    <w:rsid w:val="00F10ED3"/>
    <w:rsid w:val="00F12618"/>
    <w:rsid w:val="00F15C0D"/>
    <w:rsid w:val="00F16017"/>
    <w:rsid w:val="00F2022F"/>
    <w:rsid w:val="00F22CAF"/>
    <w:rsid w:val="00F2687D"/>
    <w:rsid w:val="00F31054"/>
    <w:rsid w:val="00F33B0D"/>
    <w:rsid w:val="00F3654D"/>
    <w:rsid w:val="00F47E29"/>
    <w:rsid w:val="00F502A9"/>
    <w:rsid w:val="00F51618"/>
    <w:rsid w:val="00F53444"/>
    <w:rsid w:val="00F56572"/>
    <w:rsid w:val="00F619DE"/>
    <w:rsid w:val="00F752CC"/>
    <w:rsid w:val="00F771A0"/>
    <w:rsid w:val="00F815AA"/>
    <w:rsid w:val="00F829A0"/>
    <w:rsid w:val="00F862E9"/>
    <w:rsid w:val="00FA00AE"/>
    <w:rsid w:val="00FA19EA"/>
    <w:rsid w:val="00FA330F"/>
    <w:rsid w:val="00FA387B"/>
    <w:rsid w:val="00FA5062"/>
    <w:rsid w:val="00FB7BC5"/>
    <w:rsid w:val="00FB7C33"/>
    <w:rsid w:val="00FC1B93"/>
    <w:rsid w:val="00FC3822"/>
    <w:rsid w:val="00FC3E07"/>
    <w:rsid w:val="00FD2BC6"/>
    <w:rsid w:val="00FD70F7"/>
    <w:rsid w:val="00FE02EB"/>
    <w:rsid w:val="00FE2E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A108A"/>
  <w15:chartTrackingRefBased/>
  <w15:docId w15:val="{D018ADD1-0274-C641-AA19-FE05F4C7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90"/>
    <w:pPr>
      <w:jc w:val="both"/>
    </w:pPr>
    <w:rPr>
      <w:rFonts w:ascii="Calibri" w:eastAsia="MS Mincho" w:hAnsi="Calibri"/>
      <w:sz w:val="20"/>
      <w:szCs w:val="20"/>
      <w:lang w:val="en-US"/>
    </w:rPr>
  </w:style>
  <w:style w:type="paragraph" w:styleId="Heading1">
    <w:name w:val="heading 1"/>
    <w:basedOn w:val="Normal"/>
    <w:next w:val="Normal"/>
    <w:link w:val="Heading1Char"/>
    <w:autoRedefine/>
    <w:uiPriority w:val="9"/>
    <w:qFormat/>
    <w:rsid w:val="00880FF6"/>
    <w:pPr>
      <w:numPr>
        <w:numId w:val="1"/>
      </w:numPr>
      <w:outlineLvl w:val="0"/>
    </w:pPr>
    <w:rPr>
      <w:sz w:val="24"/>
    </w:rPr>
  </w:style>
  <w:style w:type="paragraph" w:styleId="Heading2">
    <w:name w:val="heading 2"/>
    <w:basedOn w:val="Heading1"/>
    <w:next w:val="Normal"/>
    <w:link w:val="Heading2Char"/>
    <w:uiPriority w:val="9"/>
    <w:unhideWhenUsed/>
    <w:qFormat/>
    <w:rsid w:val="00880FF6"/>
    <w:pPr>
      <w:numPr>
        <w:ilvl w:val="1"/>
      </w:numPr>
      <w:outlineLvl w:val="1"/>
    </w:pPr>
  </w:style>
  <w:style w:type="paragraph" w:styleId="Heading3">
    <w:name w:val="heading 3"/>
    <w:basedOn w:val="Heading2"/>
    <w:next w:val="Normal"/>
    <w:link w:val="Heading3Char"/>
    <w:uiPriority w:val="9"/>
    <w:unhideWhenUsed/>
    <w:qFormat/>
    <w:rsid w:val="00833190"/>
    <w:pPr>
      <w:numPr>
        <w:ilvl w:val="2"/>
      </w:numPr>
      <w:ind w:left="709" w:hanging="709"/>
      <w:outlineLvl w:val="2"/>
    </w:pPr>
  </w:style>
  <w:style w:type="paragraph" w:styleId="Heading4">
    <w:name w:val="heading 4"/>
    <w:basedOn w:val="Heading3"/>
    <w:next w:val="Normal"/>
    <w:link w:val="Heading4Char"/>
    <w:uiPriority w:val="9"/>
    <w:unhideWhenUsed/>
    <w:qFormat/>
    <w:rsid w:val="00880FF6"/>
    <w:pPr>
      <w:numPr>
        <w:ilvl w:val="3"/>
      </w:numPr>
      <w:ind w:left="851" w:hanging="851"/>
      <w:outlineLvl w:val="3"/>
    </w:pPr>
  </w:style>
  <w:style w:type="paragraph" w:styleId="Heading5">
    <w:name w:val="heading 5"/>
    <w:basedOn w:val="Normal"/>
    <w:next w:val="Normal"/>
    <w:link w:val="Heading5Char"/>
    <w:uiPriority w:val="9"/>
    <w:semiHidden/>
    <w:unhideWhenUsed/>
    <w:qFormat/>
    <w:rsid w:val="0083319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FF6"/>
    <w:rPr>
      <w:rFonts w:ascii="Palatino Linotype" w:eastAsia="MS Mincho" w:hAnsi="Palatino Linotype"/>
      <w:sz w:val="24"/>
      <w:szCs w:val="20"/>
      <w:lang w:val="en-US"/>
    </w:rPr>
  </w:style>
  <w:style w:type="character" w:customStyle="1" w:styleId="Heading2Char">
    <w:name w:val="Heading 2 Char"/>
    <w:basedOn w:val="DefaultParagraphFont"/>
    <w:link w:val="Heading2"/>
    <w:uiPriority w:val="9"/>
    <w:rsid w:val="00880FF6"/>
    <w:rPr>
      <w:rFonts w:ascii="Palatino Linotype" w:eastAsia="MS Mincho" w:hAnsi="Palatino Linotype"/>
      <w:sz w:val="24"/>
      <w:szCs w:val="20"/>
      <w:lang w:val="en-US"/>
    </w:rPr>
  </w:style>
  <w:style w:type="character" w:customStyle="1" w:styleId="Heading3Char">
    <w:name w:val="Heading 3 Char"/>
    <w:basedOn w:val="DefaultParagraphFont"/>
    <w:link w:val="Heading3"/>
    <w:uiPriority w:val="9"/>
    <w:rsid w:val="00833190"/>
    <w:rPr>
      <w:rFonts w:ascii="Calibri" w:eastAsia="MS Mincho" w:hAnsi="Calibri"/>
      <w:sz w:val="24"/>
      <w:szCs w:val="20"/>
      <w:lang w:val="en-US"/>
    </w:rPr>
  </w:style>
  <w:style w:type="character" w:customStyle="1" w:styleId="Heading4Char">
    <w:name w:val="Heading 4 Char"/>
    <w:basedOn w:val="DefaultParagraphFont"/>
    <w:link w:val="Heading4"/>
    <w:uiPriority w:val="9"/>
    <w:rsid w:val="00880FF6"/>
    <w:rPr>
      <w:rFonts w:ascii="Palatino Linotype" w:eastAsia="MS Mincho" w:hAnsi="Palatino Linotype"/>
      <w:sz w:val="24"/>
      <w:szCs w:val="20"/>
      <w:lang w:val="en-US"/>
    </w:rPr>
  </w:style>
  <w:style w:type="paragraph" w:styleId="Header">
    <w:name w:val="header"/>
    <w:basedOn w:val="Normal"/>
    <w:link w:val="HeaderChar"/>
    <w:uiPriority w:val="99"/>
    <w:unhideWhenUsed/>
    <w:rsid w:val="00880F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80FF6"/>
    <w:rPr>
      <w:rFonts w:ascii="Palatino Linotype" w:eastAsia="MS Mincho" w:hAnsi="Palatino Linotype"/>
      <w:sz w:val="20"/>
      <w:szCs w:val="20"/>
      <w:lang w:val="en-US"/>
    </w:rPr>
  </w:style>
  <w:style w:type="paragraph" w:styleId="Footer">
    <w:name w:val="footer"/>
    <w:basedOn w:val="Normal"/>
    <w:link w:val="FooterChar"/>
    <w:uiPriority w:val="99"/>
    <w:unhideWhenUsed/>
    <w:rsid w:val="00880FF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80FF6"/>
    <w:rPr>
      <w:rFonts w:ascii="Palatino Linotype" w:eastAsia="MS Mincho" w:hAnsi="Palatino Linotype"/>
      <w:sz w:val="20"/>
      <w:szCs w:val="20"/>
      <w:lang w:val="en-US"/>
    </w:rPr>
  </w:style>
  <w:style w:type="table" w:styleId="TableGrid">
    <w:name w:val="Table Grid"/>
    <w:basedOn w:val="TableNormal"/>
    <w:uiPriority w:val="39"/>
    <w:rsid w:val="00880FF6"/>
    <w:pPr>
      <w:spacing w:after="0" w:line="240" w:lineRule="auto"/>
    </w:pPr>
    <w:rPr>
      <w:rFonts w:eastAsia="MS Mincho"/>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FF6"/>
    <w:rPr>
      <w:color w:val="0563C1" w:themeColor="hyperlink"/>
      <w:u w:val="single"/>
    </w:rPr>
  </w:style>
  <w:style w:type="paragraph" w:styleId="Title">
    <w:name w:val="Title"/>
    <w:basedOn w:val="Heading1"/>
    <w:next w:val="Normal"/>
    <w:link w:val="TitleChar"/>
    <w:uiPriority w:val="10"/>
    <w:qFormat/>
    <w:rsid w:val="00880FF6"/>
    <w:pPr>
      <w:numPr>
        <w:numId w:val="0"/>
      </w:numPr>
      <w:jc w:val="center"/>
    </w:pPr>
    <w:rPr>
      <w:sz w:val="40"/>
      <w:szCs w:val="40"/>
    </w:rPr>
  </w:style>
  <w:style w:type="character" w:customStyle="1" w:styleId="TitleChar">
    <w:name w:val="Title Char"/>
    <w:basedOn w:val="DefaultParagraphFont"/>
    <w:link w:val="Title"/>
    <w:uiPriority w:val="10"/>
    <w:rsid w:val="00880FF6"/>
    <w:rPr>
      <w:rFonts w:ascii="Palatino Linotype" w:eastAsia="MS Mincho" w:hAnsi="Palatino Linotype"/>
      <w:sz w:val="40"/>
      <w:szCs w:val="40"/>
      <w:lang w:val="en-US"/>
    </w:rPr>
  </w:style>
  <w:style w:type="paragraph" w:styleId="NoSpacing">
    <w:name w:val="No Spacing"/>
    <w:uiPriority w:val="1"/>
    <w:qFormat/>
    <w:rsid w:val="00833190"/>
    <w:pPr>
      <w:spacing w:after="0" w:line="240" w:lineRule="auto"/>
      <w:jc w:val="both"/>
    </w:pPr>
    <w:rPr>
      <w:rFonts w:ascii="Calibri" w:eastAsia="MS Mincho" w:hAnsi="Calibri"/>
      <w:sz w:val="20"/>
      <w:szCs w:val="20"/>
      <w:lang w:val="en-US"/>
    </w:rPr>
  </w:style>
  <w:style w:type="character" w:customStyle="1" w:styleId="Heading5Char">
    <w:name w:val="Heading 5 Char"/>
    <w:basedOn w:val="DefaultParagraphFont"/>
    <w:link w:val="Heading5"/>
    <w:uiPriority w:val="9"/>
    <w:semiHidden/>
    <w:rsid w:val="00833190"/>
    <w:rPr>
      <w:rFonts w:asciiTheme="majorHAnsi" w:eastAsiaTheme="majorEastAsia" w:hAnsiTheme="majorHAnsi" w:cstheme="majorBidi"/>
      <w:color w:val="2F5496" w:themeColor="accent1" w:themeShade="BF"/>
      <w:sz w:val="20"/>
      <w:szCs w:val="20"/>
      <w:lang w:val="en-US"/>
    </w:rPr>
  </w:style>
  <w:style w:type="paragraph" w:styleId="ListParagraph">
    <w:name w:val="List Paragraph"/>
    <w:basedOn w:val="Normal"/>
    <w:uiPriority w:val="34"/>
    <w:rsid w:val="005415F1"/>
    <w:pPr>
      <w:ind w:left="720"/>
      <w:contextualSpacing/>
    </w:pPr>
    <w:rPr>
      <w:rFonts w:asciiTheme="minorHAnsi" w:hAnsiTheme="minorHAnsi"/>
    </w:rPr>
  </w:style>
  <w:style w:type="numbering" w:customStyle="1" w:styleId="CurrentList1">
    <w:name w:val="Current List1"/>
    <w:uiPriority w:val="99"/>
    <w:rsid w:val="005415F1"/>
    <w:pPr>
      <w:numPr>
        <w:numId w:val="9"/>
      </w:numPr>
    </w:pPr>
  </w:style>
  <w:style w:type="numbering" w:customStyle="1" w:styleId="CurrentList2">
    <w:name w:val="Current List2"/>
    <w:uiPriority w:val="99"/>
    <w:rsid w:val="005415F1"/>
    <w:pPr>
      <w:numPr>
        <w:numId w:val="10"/>
      </w:numPr>
    </w:pPr>
  </w:style>
  <w:style w:type="numbering" w:customStyle="1" w:styleId="CurrentList3">
    <w:name w:val="Current List3"/>
    <w:uiPriority w:val="99"/>
    <w:rsid w:val="00566492"/>
    <w:pPr>
      <w:numPr>
        <w:numId w:val="11"/>
      </w:numPr>
    </w:pPr>
  </w:style>
  <w:style w:type="numbering" w:customStyle="1" w:styleId="CurrentList4">
    <w:name w:val="Current List4"/>
    <w:uiPriority w:val="99"/>
    <w:rsid w:val="0029280D"/>
    <w:pPr>
      <w:numPr>
        <w:numId w:val="12"/>
      </w:numPr>
    </w:pPr>
  </w:style>
  <w:style w:type="paragraph" w:styleId="Revision">
    <w:name w:val="Revision"/>
    <w:hidden/>
    <w:uiPriority w:val="99"/>
    <w:semiHidden/>
    <w:rsid w:val="00DC75BB"/>
    <w:pPr>
      <w:spacing w:after="0" w:line="240" w:lineRule="auto"/>
    </w:pPr>
    <w:rPr>
      <w:rFonts w:ascii="Calibri" w:eastAsia="MS Mincho" w:hAnsi="Calibri"/>
      <w:sz w:val="20"/>
      <w:szCs w:val="20"/>
      <w:lang w:val="en-US"/>
    </w:rPr>
  </w:style>
  <w:style w:type="character" w:styleId="SubtleEmphasis">
    <w:name w:val="Subtle Emphasis"/>
    <w:basedOn w:val="DefaultParagraphFont"/>
    <w:uiPriority w:val="19"/>
    <w:qFormat/>
    <w:rsid w:val="00C32B4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7043822E2604693861058D7CF821C" ma:contentTypeVersion="13" ma:contentTypeDescription="Create a new document." ma:contentTypeScope="" ma:versionID="a35d12904ba785a270ed43cfc1d828c4">
  <xsd:schema xmlns:xsd="http://www.w3.org/2001/XMLSchema" xmlns:xs="http://www.w3.org/2001/XMLSchema" xmlns:p="http://schemas.microsoft.com/office/2006/metadata/properties" xmlns:ns2="b2034bbb-030e-457b-8a6a-b5e9cf535fb9" xmlns:ns3="9deb1b10-7d69-49ae-ba94-e5b733c41844" targetNamespace="http://schemas.microsoft.com/office/2006/metadata/properties" ma:root="true" ma:fieldsID="e5344f97fd824805c3c71b854e5769e0" ns2:_="" ns3:_="">
    <xsd:import namespace="b2034bbb-030e-457b-8a6a-b5e9cf535fb9"/>
    <xsd:import namespace="9deb1b10-7d69-49ae-ba94-e5b733c418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34bbb-030e-457b-8a6a-b5e9cf535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3dd27-a379-4768-843b-0264b1b990c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b1b10-7d69-49ae-ba94-e5b733c418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f075ea-b3be-4005-9882-c8aa16584bd4}" ma:internalName="TaxCatchAll" ma:showField="CatchAllData" ma:web="9deb1b10-7d69-49ae-ba94-e5b733c418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034bbb-030e-457b-8a6a-b5e9cf535fb9">
      <Terms xmlns="http://schemas.microsoft.com/office/infopath/2007/PartnerControls"/>
    </lcf76f155ced4ddcb4097134ff3c332f>
    <TaxCatchAll xmlns="9deb1b10-7d69-49ae-ba94-e5b733c41844" xsi:nil="true"/>
    <SharedWithUsers xmlns="9deb1b10-7d69-49ae-ba94-e5b733c4184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02097-4827-43FD-9771-55C4069FE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34bbb-030e-457b-8a6a-b5e9cf535fb9"/>
    <ds:schemaRef ds:uri="9deb1b10-7d69-49ae-ba94-e5b733c41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33879-957D-4D50-8929-C4AD60C6458A}">
  <ds:schemaRefs>
    <ds:schemaRef ds:uri="9deb1b10-7d69-49ae-ba94-e5b733c41844"/>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b2034bbb-030e-457b-8a6a-b5e9cf535fb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6F93473-6CFD-42D6-B964-DD60F6161517}">
  <ds:schemaRefs>
    <ds:schemaRef ds:uri="http://schemas.microsoft.com/sharepoint/v3/contenttype/forms"/>
  </ds:schemaRefs>
</ds:datastoreItem>
</file>

<file path=docMetadata/LabelInfo.xml><?xml version="1.0" encoding="utf-8"?>
<clbl:labelList xmlns:clbl="http://schemas.microsoft.com/office/2020/mipLabelMetadata">
  <clbl:label id="{c75ef524-3e64-4db6-9512-92efdac86934}" enabled="1" method="Privileged" siteId="{890e507f-46d6-414e-84f8-2791841d8249}" removed="0"/>
</clbl:labelList>
</file>

<file path=docProps/app.xml><?xml version="1.0" encoding="utf-8"?>
<Properties xmlns="http://schemas.openxmlformats.org/officeDocument/2006/extended-properties" xmlns:vt="http://schemas.openxmlformats.org/officeDocument/2006/docPropsVTypes">
  <Template>Normal</Template>
  <TotalTime>39</TotalTime>
  <Pages>5</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Løge</dc:creator>
  <cp:keywords/>
  <dc:description/>
  <cp:lastModifiedBy>Adam Kalnický</cp:lastModifiedBy>
  <cp:revision>2</cp:revision>
  <cp:lastPrinted>2025-06-12T06:56:00Z</cp:lastPrinted>
  <dcterms:created xsi:type="dcterms:W3CDTF">2025-06-12T07:35:00Z</dcterms:created>
  <dcterms:modified xsi:type="dcterms:W3CDTF">2025-06-12T07:35:00Z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0x010100DEC7043822E2604693861058D7CF821C</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73e7fe3c30e13ec089b6bb8b2aa31088e8da25904a9d6e27e2be9ec50a16e39d</vt:lpwstr>
  </property>
  <property fmtid="{D5CDD505-2E9C-101B-9397-08002B2CF9AE}" pid="14" name="MediaServiceImageTags">
    <vt:lpwstr/>
  </property>
  <property fmtid="{D5CDD505-2E9C-101B-9397-08002B2CF9AE}" pid="15" name="MSIP_Label_c75ef524-3e64-4db6-9512-92efdac86934_Enabled">
    <vt:lpwstr>true</vt:lpwstr>
  </property>
  <property fmtid="{D5CDD505-2E9C-101B-9397-08002B2CF9AE}" pid="16" name="MSIP_Label_c75ef524-3e64-4db6-9512-92efdac86934_SetDate">
    <vt:lpwstr>2024-06-06T19:24:28Z</vt:lpwstr>
  </property>
  <property fmtid="{D5CDD505-2E9C-101B-9397-08002B2CF9AE}" pid="17" name="MSIP_Label_c75ef524-3e64-4db6-9512-92efdac86934_Method">
    <vt:lpwstr>Privileged</vt:lpwstr>
  </property>
  <property fmtid="{D5CDD505-2E9C-101B-9397-08002B2CF9AE}" pid="18" name="MSIP_Label_c75ef524-3e64-4db6-9512-92efdac86934_Name">
    <vt:lpwstr>General Information</vt:lpwstr>
  </property>
  <property fmtid="{D5CDD505-2E9C-101B-9397-08002B2CF9AE}" pid="19" name="MSIP_Label_c75ef524-3e64-4db6-9512-92efdac86934_SiteId">
    <vt:lpwstr>890e507f-46d6-414e-84f8-2791841d8249</vt:lpwstr>
  </property>
  <property fmtid="{D5CDD505-2E9C-101B-9397-08002B2CF9AE}" pid="20" name="MSIP_Label_c75ef524-3e64-4db6-9512-92efdac86934_ActionId">
    <vt:lpwstr>d853c9de-f7b3-4638-b74b-23883fc16c16</vt:lpwstr>
  </property>
  <property fmtid="{D5CDD505-2E9C-101B-9397-08002B2CF9AE}" pid="21" name="MSIP_Label_c75ef524-3e64-4db6-9512-92efdac86934_ContentBits">
    <vt:lpwstr>0</vt:lpwstr>
  </property>
</Properties>
</file>